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G Times" w:hAnsi="CG Times" w:cs="CG Times"/>
          <w:sz w:val="28"/>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rFonts w:cs="CG Times" w:ascii="CG Times" w:hAnsi="CG Times"/>
          <w:sz w:val="28"/>
        </w:rPr>
        <w:t>SULLIVAN &amp; CROMWELL</w:t>
      </w:r>
    </w:p>
    <w:p>
      <w:pPr>
        <w:pStyle w:val="Normal"/>
        <w:rPr>
          <w:rFonts w:ascii="CG Times" w:hAnsi="CG Times" w:cs="CG Times"/>
          <w:sz w:val="28"/>
        </w:rPr>
      </w:pPr>
      <w:r>
        <w:rPr>
          <w:rFonts w:cs="CG Times" w:ascii="CG Times" w:hAnsi="CG Times"/>
          <w:sz w:val="28"/>
        </w:rPr>
      </w:r>
    </w:p>
    <w:p>
      <w:pPr>
        <w:pStyle w:val="Normal"/>
        <w:rPr>
          <w:rFonts w:ascii="CG Times" w:hAnsi="CG Times" w:cs="CG Times"/>
          <w:sz w:val="28"/>
        </w:rPr>
      </w:pPr>
      <w:r>
        <w:rPr>
          <w:rFonts w:cs="CG Times" w:ascii="CG Times" w:hAnsi="CG Times"/>
          <w:sz w:val="28"/>
        </w:rPr>
      </w:r>
    </w:p>
    <w:p>
      <w:pPr>
        <w:pStyle w:val="Normal"/>
        <w:rPr>
          <w:rFonts w:ascii="CG Times" w:hAnsi="CG Times" w:cs="CG Times"/>
          <w:sz w:val="28"/>
        </w:rPr>
      </w:pPr>
      <w:r>
        <w:rPr>
          <w:rFonts w:cs="CG Times" w:ascii="CG Times" w:hAnsi="CG Times"/>
          <w:sz w:val="28"/>
        </w:rPr>
      </w:r>
    </w:p>
    <w:p>
      <w:pPr>
        <w:pStyle w:val="Normal"/>
        <w:rPr>
          <w:rFonts w:ascii="CG Times" w:hAnsi="CG Times" w:cs="CG Times"/>
        </w:rPr>
      </w:pPr>
      <w:r>
        <w:rPr>
          <w:rFonts w:cs="CG Times" w:ascii="CG Times" w:hAnsi="CG Times"/>
        </w:rPr>
        <w:t>MEMORANDUM TO:</w:t>
        <w:tab/>
        <w:t>Justin Boyd</w:t>
        <w:tab/>
        <w:tab/>
        <w:tab/>
        <w:tab/>
        <w:t>Date: September 22, 2000</w:t>
      </w:r>
    </w:p>
    <w:p>
      <w:pPr>
        <w:pStyle w:val="Normal"/>
        <w:rPr>
          <w:rFonts w:ascii="CG Times" w:hAnsi="CG Times" w:cs="CG Times"/>
        </w:rPr>
      </w:pPr>
      <w:r>
        <w:rPr>
          <w:rFonts w:cs="CG Times" w:ascii="CG Times" w:hAnsi="CG Times"/>
        </w:rPr>
        <w:tab/>
        <w:tab/>
        <w:tab/>
        <w:tab/>
        <w:t>(Enron Europe, Ltd.)</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ab/>
        <w:tab/>
        <w:t xml:space="preserve"> FROM:</w:t>
        <w:tab/>
        <w:t>Kenneth M. Raisler</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ab/>
        <w:tab/>
        <w:t xml:space="preserve">       RE:</w:t>
        <w:tab/>
      </w:r>
      <w:r>
        <w:rPr>
          <w:rFonts w:cs="CG Times" w:ascii="CG Times" w:hAnsi="CG Times"/>
          <w:u w:val="single"/>
        </w:rPr>
        <w:t>U.S. Marketing of LME Contract</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spacing w:lineRule="auto" w:line="480"/>
        <w:jc w:val="both"/>
        <w:rPr>
          <w:rFonts w:ascii="CG Times" w:hAnsi="CG Times" w:cs="CG Times"/>
        </w:rPr>
      </w:pPr>
      <w:r>
        <w:rPr>
          <w:rFonts w:cs="CG Times" w:ascii="CG Times" w:hAnsi="CG Times"/>
        </w:rPr>
        <w:tab/>
        <w:tab/>
        <w:t>The marketing and sale of futures contracts to U.S. customers, including non-U.S. futures contracts such as LME contracts, are governed by U.S. regulatory restrictions.  Those regulations require that persons who market and sell such futures contracts be regulated or approved by the Commodity Futures Trading Commission (“CFTC”).  As a result, the marketing and sale of LME contracts to U.S. customers and counterparties must be strictly limited to employees of MG London Inc. in the United States and Enron Metals Limited in the U.K.  These are the only entities approved for such activity by the CFTC.</w:t>
      </w:r>
    </w:p>
    <w:p>
      <w:pPr>
        <w:pStyle w:val="Normal"/>
        <w:spacing w:lineRule="auto" w:line="480"/>
        <w:jc w:val="both"/>
        <w:rPr>
          <w:rFonts w:ascii="CG Times" w:hAnsi="CG Times" w:cs="CG Times"/>
        </w:rPr>
      </w:pPr>
      <w:r>
        <w:rPr>
          <w:rFonts w:cs="CG Times" w:ascii="CG Times" w:hAnsi="CG Times"/>
        </w:rPr>
        <w:tab/>
        <w:tab/>
        <w:t xml:space="preserve">In this connection, marketing includes personal contact with customers or counterparties, telephonic contact, mail, fax or e-mail communications and any other form of electronic communication.  No Enron employee other than employees of the two companies identified above can provide markets to customers with respect to LME futures.  This restriction does not apply to customers’ activities away from the LME, including physical transactions in base metals that may be priced basis the LME.  However, Enron employees not employed by the two companies cannot confer with these customers regarding LME futures and should not solicit or even discuss LME futures contracts with U.S. potential or existing customers.  If a potential customer has any interest in LME futures, the Enron employees should contact an employee of one of the two companies who, in turn, can contact the customer.  </w:t>
      </w:r>
    </w:p>
    <w:p>
      <w:pPr>
        <w:pStyle w:val="Normal"/>
        <w:spacing w:lineRule="auto" w:line="480"/>
        <w:jc w:val="both"/>
        <w:rPr>
          <w:rFonts w:ascii="CG Times" w:hAnsi="CG Times" w:cs="CG Times"/>
        </w:rPr>
      </w:pPr>
      <w:r>
        <w:rPr>
          <w:rFonts w:cs="CG Times" w:ascii="CG Times" w:hAnsi="CG Times"/>
        </w:rPr>
        <w:tab/>
        <w:tab/>
        <w:t>Because of the sensitivities of these issues and the potential exposure to Enron and its affiliates in the event of any violation of these requirements, the restrictions set forth in this memorandum must be strictly adhered to in all circumstances.  Any questions regarding any interpretation of this memorandum should be addressed to _____________.</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jc w:val="both"/>
        <w:rPr/>
      </w:pPr>
      <w:r>
        <w:rPr/>
        <w:tab/>
        <w:tab/>
        <w:tab/>
        <w:tab/>
        <w:tab/>
        <w:tab/>
        <w:tab/>
        <w:tab/>
      </w:r>
      <w:r>
        <w:rPr>
          <w:rFonts w:cs="CG Times" w:ascii="CG Times" w:hAnsi="CG Times"/>
        </w:rPr>
        <w:t>K.M.R.</w:t>
      </w:r>
    </w:p>
    <w:sectPr>
      <w:type w:val="nextPage"/>
      <w:pgSz w:w="12240" w:h="15840"/>
      <w:pgMar w:left="1440" w:right="1440" w:gutter="0" w:header="0" w:top="1915" w:footer="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spacing w:before="240" w:after="60"/>
      <w:outlineLvl w:val="3"/>
    </w:pPr>
    <w:rPr>
      <w:u w:val="single"/>
    </w:rPr>
  </w:style>
  <w:style w:type="paragraph" w:styleId="Heading5">
    <w:name w:val="heading 5"/>
    <w:basedOn w:val="Normal"/>
    <w:next w:val="Normal"/>
    <w:qFormat/>
    <w:pPr>
      <w:numPr>
        <w:ilvl w:val="4"/>
        <w:numId w:val="1"/>
      </w:numPr>
      <w:spacing w:before="240" w:after="60"/>
      <w:outlineLvl w:val="4"/>
    </w:pPr>
    <w:rPr>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rFonts w:ascii="Times New Roman" w:hAnsi="Times New Roman" w:cs="Times New Roman"/>
      <w:b/>
      <w:caps/>
      <w:sz w:val="20"/>
    </w:rPr>
  </w:style>
  <w:style w:type="paragraph" w:styleId="TOC2">
    <w:name w:val="toc 2"/>
    <w:basedOn w:val="Normal"/>
    <w:next w:val="Normal"/>
    <w:pPr>
      <w:ind w:hanging="0" w:start="240" w:end="0"/>
    </w:pPr>
    <w:rPr>
      <w:rFonts w:ascii="Times New Roman" w:hAnsi="Times New Roman" w:cs="Times New Roman"/>
      <w:smallCaps/>
      <w:sz w:val="20"/>
    </w:rPr>
  </w:style>
  <w:style w:type="paragraph" w:styleId="TOC3">
    <w:name w:val="toc 3"/>
    <w:basedOn w:val="Normal"/>
    <w:next w:val="Normal"/>
    <w:pPr>
      <w:ind w:hanging="0" w:start="480" w:end="0"/>
    </w:pPr>
    <w:rPr>
      <w:rFonts w:ascii="Times New Roman" w:hAnsi="Times New Roman" w:cs="Times New Roman"/>
      <w:i/>
      <w:sz w:val="20"/>
    </w:rPr>
  </w:style>
  <w:style w:type="paragraph" w:styleId="TOC4">
    <w:name w:val="toc 4"/>
    <w:basedOn w:val="Normal"/>
    <w:next w:val="Normal"/>
    <w:pPr>
      <w:ind w:hanging="0" w:start="720" w:end="0"/>
    </w:pPr>
    <w:rPr>
      <w:rFonts w:ascii="Times New Roman" w:hAnsi="Times New Roman" w:cs="Times New Roman"/>
      <w:sz w:val="18"/>
    </w:rPr>
  </w:style>
  <w:style w:type="paragraph" w:styleId="TOC5">
    <w:name w:val="toc 5"/>
    <w:basedOn w:val="Normal"/>
    <w:next w:val="Normal"/>
    <w:pPr>
      <w:ind w:hanging="0" w:start="960" w:end="0"/>
    </w:pPr>
    <w:rPr>
      <w:rFonts w:ascii="Times New Roman" w:hAnsi="Times New Roman" w:cs="Times New Roman"/>
      <w:sz w:val="18"/>
    </w:rPr>
  </w:style>
  <w:style w:type="paragraph" w:styleId="TOC6">
    <w:name w:val="toc 6"/>
    <w:basedOn w:val="Normal"/>
    <w:next w:val="Normal"/>
    <w:pPr>
      <w:ind w:hanging="0" w:start="1200" w:end="0"/>
    </w:pPr>
    <w:rPr>
      <w:rFonts w:ascii="Times New Roman" w:hAnsi="Times New Roman" w:cs="Times New Roman"/>
      <w:sz w:val="18"/>
    </w:rPr>
  </w:style>
  <w:style w:type="paragraph" w:styleId="TOC7">
    <w:name w:val="toc 7"/>
    <w:basedOn w:val="Normal"/>
    <w:next w:val="Normal"/>
    <w:pPr>
      <w:ind w:hanging="0" w:start="1440" w:end="0"/>
    </w:pPr>
    <w:rPr>
      <w:rFonts w:ascii="Times New Roman" w:hAnsi="Times New Roman" w:cs="Times New Roman"/>
      <w:sz w:val="18"/>
    </w:rPr>
  </w:style>
  <w:style w:type="paragraph" w:styleId="TOC8">
    <w:name w:val="toc 8"/>
    <w:basedOn w:val="Normal"/>
    <w:next w:val="Normal"/>
    <w:pPr>
      <w:ind w:hanging="0" w:start="1680" w:end="0"/>
    </w:pPr>
    <w:rPr>
      <w:rFonts w:ascii="Times New Roman" w:hAnsi="Times New Roman" w:cs="Times New Roman"/>
      <w:sz w:val="18"/>
    </w:rPr>
  </w:style>
  <w:style w:type="paragraph" w:styleId="TOC9">
    <w:name w:val="toc 9"/>
    <w:basedOn w:val="Normal"/>
    <w:next w:val="Normal"/>
    <w:pPr>
      <w:ind w:hanging="0" w:start="1920" w:end="0"/>
    </w:pPr>
    <w:rPr>
      <w:rFonts w:ascii="Times New Roman" w:hAnsi="Times New Roman" w:cs="Times New Roman"/>
      <w:sz w:val="18"/>
    </w:rPr>
  </w:style>
  <w:style w:type="paragraph" w:styleId="FootnoteText">
    <w:name w:val="footnote text"/>
    <w:basedOn w:val="Normal"/>
    <w:pPr>
      <w:spacing w:before="240" w:after="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2000-09-22T14:42:00Z</dcterms:created>
  <dc:creator>For Help Call PC Support, x 4277</dc:creator>
  <dc:description/>
  <dc:language>en-CA</dc:language>
  <cp:lastModifiedBy>For Help Call PC Support, x 4277</cp:lastModifiedBy>
  <dcterms:modified xsi:type="dcterms:W3CDTF">2000-09-22T14:42:00Z</dcterms:modified>
  <cp:revision>2</cp:revision>
  <dc:subject/>
  <dc:title>test</dc:title>
</cp:coreProperties>
</file>