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pPr>
      <w:r>
        <w:rPr>
          <w:u w:val="none"/>
        </w:rPr>
        <w:t>[Re: LM6000</w:t>
      </w:r>
      <w:r>
        <w:rPr>
          <w:u w:val="double"/>
        </w:rPr>
        <w:t>-TurboPark</w:t>
      </w:r>
      <w:r>
        <w:rPr>
          <w:u w:val="none"/>
        </w:rPr>
        <w: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rPr/>
      </w:pPr>
      <w:r>
        <w:rPr/>
        <w:t xml:space="preserve"> </w:t>
      </w:r>
      <w:r>
        <w:rPr>
          <w:strike/>
        </w:rPr>
        <w:t>WHEREAS, WestLB, ENA and GE Packaged Power, Inc., a Delaware corporation ("GE"), are parties to that certain Agreement dated as of May 12, 2000 (the "Turbine Contract"), with respect to certain gas turbines and related ancillary equipment described therein;</w:t>
      </w:r>
    </w:p>
    <w:p>
      <w:pPr>
        <w:pStyle w:val="CenteredHeading"/>
        <w:jc w:val="both"/>
        <w:rPr/>
      </w:pPr>
      <w:r>
        <w:rPr>
          <w:u w:val="none"/>
        </w:rPr>
        <w:tab/>
        <w:t>WHEREAS, ENA and WestLB have entered into an Amended and Restated Acquisition and Development Agreement (the "</w:t>
      </w:r>
      <w:r>
        <w:rPr/>
        <w:t>Development Agreement</w:t>
      </w:r>
      <w:r>
        <w:rPr>
          <w:u w:val="none"/>
        </w:rPr>
        <w:t xml:space="preserve">"), dated as of May 12, 2000, appointing ENA as WestLB's acquisition agent in connection therewith and providing for the performance by ENA of all of the obligations of WestLB under the </w:t>
      </w:r>
      <w:r>
        <w:rPr>
          <w:strike/>
          <w:u w:val="none"/>
        </w:rPr>
        <w:t>Turbine Contract</w:t>
      </w:r>
      <w:r>
        <w:rPr>
          <w:u w:val="none"/>
        </w:rPr>
        <w:t xml:space="preserve"> </w:t>
      </w:r>
      <w:r>
        <w:rPr>
          <w:u w:val="double"/>
        </w:rPr>
        <w:t>Purchase Agreements</w:t>
      </w:r>
      <w:r>
        <w:rPr>
          <w:u w:val="none"/>
        </w:rPr>
        <w:t>, except for the obligation to fund the purchase price related thereto and indemnification obligations set forth therein;</w:t>
      </w:r>
    </w:p>
    <w:p>
      <w:pPr>
        <w:pStyle w:val="WSBody-Just-51stLnIndnt"/>
        <w:rPr>
          <w:u w:val="double"/>
        </w:rPr>
      </w:pPr>
      <w:r>
        <w:rPr>
          <w:u w:val="double"/>
        </w:rPr>
        <w:t>WHEREAS, WestLB, acting through its agent ENA, and GE Packaged Power, Inc., a Delaware corporation ("GE"),  are parties to that certain Agreement dated as of May 12, 2000 (the "LM6000 Turbine Contract"), with respect to certain gas turbines and related ancillary equipment described therein;</w:t>
      </w:r>
    </w:p>
    <w:p>
      <w:pPr>
        <w:pStyle w:val="WSBody-Just-51stLnIndnt"/>
        <w:rPr>
          <w:u w:val="double"/>
        </w:rPr>
      </w:pPr>
      <w:r>
        <w:rPr>
          <w:u w:val="double"/>
        </w:rPr>
        <w:t>WHEREAS,  WestLB, acting through its agent ENA, and Innovative Steam Technologies Ltd. (“IST”), are parties to (i) the Agreement, dated as of July 21, 2000 (the “HRSG Turbine Contract”), with respect to a heat recovery steam generators and related equipment, and (ii) the Agreement, dated as of July 21, 2000 (the “Steam Turbine Contract”), with respect to steam turbines and related equipment;</w:t>
      </w:r>
    </w:p>
    <w:p>
      <w:pPr>
        <w:pStyle w:val="WSBody-Just-51stLnIndnt"/>
        <w:rPr>
          <w:u w:val="double"/>
        </w:rPr>
      </w:pPr>
      <w:r>
        <w:rPr>
          <w:u w:val="double"/>
        </w:rPr>
        <w:t>WHEREAS, WestLB, acting through its agent ENA, has entered into certain other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xml:space="preserve">") and all of the rights and obligations under the </w:t>
      </w:r>
      <w:r>
        <w:rPr>
          <w:strike/>
        </w:rPr>
        <w:t xml:space="preserve">Turbine Contract </w:t>
      </w:r>
      <w:r>
        <w:rPr>
          <w:u w:val="double"/>
        </w:rPr>
        <w:t>LM6000 Turbine Contract, the HRSG Turbine Contract, the Steam Turbine Contract and the Ancillary Agreements</w:t>
      </w:r>
      <w:r>
        <w:rPr/>
        <w:t xml:space="preserve">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 releases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numPr>
          <w:ilvl w:val="0"/>
          <w:numId w:val="0"/>
        </w:numPr>
        <w:ind w:firstLine="720" w:start="0" w:end="0"/>
        <w:rPr/>
      </w:pPr>
      <w:r>
        <w:rPr/>
        <w:t>2.</w:t>
        <w:tab/>
      </w: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numPr>
          <w:ilvl w:val="0"/>
          <w:numId w:val="0"/>
        </w:numPr>
        <w:ind w:firstLine="720" w:start="0" w:end="0"/>
        <w:rPr/>
      </w:pPr>
      <w:r>
        <w:rPr/>
        <w:t>3.</w:t>
        <w:tab/>
      </w: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numPr>
          <w:ilvl w:val="0"/>
          <w:numId w:val="0"/>
        </w:numPr>
        <w:ind w:firstLine="720" w:start="0" w:end="0"/>
        <w:rPr/>
      </w:pPr>
      <w:r>
        <w:rPr/>
        <w:t>4.</w:t>
        <w:tab/>
      </w: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which assignment is AS IS, WHERE IS, WITH ALL FAULTS OF ALL AND ANY KIND WHATSOEVER.</w:t>
      </w:r>
    </w:p>
    <w:p>
      <w:pPr>
        <w:pStyle w:val="Heading1"/>
        <w:numPr>
          <w:ilvl w:val="0"/>
          <w:numId w:val="0"/>
        </w:numPr>
        <w:ind w:firstLine="720" w:start="0" w:end="0"/>
        <w:rPr/>
      </w:pPr>
      <w:r>
        <w:rPr/>
        <w:t>5.</w:t>
        <w:tab/>
      </w: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numPr>
          <w:ilvl w:val="0"/>
          <w:numId w:val="0"/>
        </w:numPr>
        <w:ind w:firstLine="720" w:start="0" w:end="0"/>
        <w:rPr/>
      </w:pPr>
      <w:r>
        <w:rPr/>
        <w:t>6.</w:t>
        <w:tab/>
      </w:r>
      <w:r>
        <w:rPr>
          <w:u w:val="single"/>
        </w:rPr>
        <w:t>Representations and Warranties</w:t>
      </w:r>
      <w:r>
        <w:rPr/>
        <w:t>.  (a)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numPr>
          <w:ilvl w:val="0"/>
          <w:numId w:val="0"/>
        </w:numPr>
        <w:ind w:firstLine="720" w:start="0" w:end="0"/>
        <w:rPr/>
      </w:pPr>
      <w:r>
        <w:rPr/>
        <w:t>(b)</w:t>
        <w:tab/>
        <w:t xml:space="preserve">ENA hereby represents and warrants that by execution and delivery of this Agreement </w:t>
      </w:r>
      <w:r>
        <w:rPr>
          <w:u w:val="double"/>
        </w:rPr>
        <w:t>and the related consent of GE</w:t>
      </w:r>
      <w:r>
        <w:rPr/>
        <w:t xml:space="preserve">, under the terms of the </w:t>
      </w:r>
      <w:r>
        <w:rPr>
          <w:u w:val="double"/>
        </w:rPr>
        <w:t>LM6000 Turbine Contract, the HRSG Turbine Contract, the Steam</w:t>
      </w:r>
      <w:r>
        <w:rPr/>
        <w:t xml:space="preserve"> Turbine Contract and the </w:t>
      </w:r>
      <w:r>
        <w:rPr>
          <w:u w:val="double"/>
        </w:rPr>
        <w:t>other</w:t>
      </w:r>
      <w:r>
        <w:rPr/>
        <w:t xml:space="preserve"> Ancillary </w:t>
      </w:r>
      <w:r>
        <w:rPr>
          <w:strike/>
        </w:rPr>
        <w:t>Agreement</w:t>
      </w:r>
      <w:r>
        <w:rPr/>
        <w:t xml:space="preserve"> </w:t>
      </w:r>
      <w:r>
        <w:rPr>
          <w:u w:val="double"/>
        </w:rPr>
        <w:t>Agreements</w:t>
      </w:r>
      <w:r>
        <w:rPr/>
        <w:t>, WestLB shall be irrevocably relieved and forever discharged of all liability under the Assigned Contract Rights.</w:t>
      </w:r>
    </w:p>
    <w:p>
      <w:pPr>
        <w:pStyle w:val="Heading2"/>
        <w:numPr>
          <w:ilvl w:val="0"/>
          <w:numId w:val="0"/>
        </w:numPr>
        <w:ind w:firstLine="720" w:start="0" w:end="0"/>
        <w:rPr>
          <w:strike/>
        </w:rPr>
      </w:pPr>
      <w:r>
        <w:rPr>
          <w:strike/>
        </w:rPr>
      </w:r>
    </w:p>
    <w:p>
      <w:pPr>
        <w:pStyle w:val="Heading2"/>
        <w:numPr>
          <w:ilvl w:val="0"/>
          <w:numId w:val="0"/>
        </w:numPr>
        <w:ind w:firstLine="720" w:start="0" w:end="0"/>
        <w:rPr>
          <w:strike/>
        </w:rPr>
      </w:pPr>
      <w:r>
        <w:rPr>
          <w:strike/>
        </w:rPr>
        <w:t>7. Covenant of ENA. ENA hereby covenants to promptly notify GE of the assignment contemplated by this Agreement and the release and discharge of WestLB from the Assigned Contract Rights pursuant to the terms of the Turbine Contract.</w:t>
      </w:r>
    </w:p>
    <w:p>
      <w:pPr>
        <w:pStyle w:val="Heading2"/>
        <w:numPr>
          <w:ilvl w:val="0"/>
          <w:numId w:val="0"/>
        </w:numPr>
        <w:ind w:firstLine="720" w:start="0" w:end="0"/>
        <w:rPr>
          <w:strike/>
        </w:rPr>
      </w:pPr>
      <w:r>
        <w:rPr>
          <w:strike/>
        </w:rPr>
        <w:t>8</w:t>
      </w:r>
    </w:p>
    <w:p>
      <w:pPr>
        <w:pStyle w:val="Heading1"/>
        <w:numPr>
          <w:ilvl w:val="0"/>
          <w:numId w:val="0"/>
        </w:numPr>
        <w:ind w:firstLine="720" w:start="0" w:end="0"/>
        <w:rPr/>
      </w:pPr>
      <w:r>
        <w:rPr>
          <w:u w:val="double"/>
        </w:rPr>
        <w:t>7</w:t>
      </w:r>
      <w:r>
        <w:rPr/>
        <w:t>.</w:t>
        <w:tab/>
      </w:r>
      <w:r>
        <w:rPr>
          <w:u w:val="single"/>
        </w:rPr>
        <w:t>Waiver and Consent by WestLB</w:t>
      </w:r>
      <w:r>
        <w:rPr/>
        <w:t xml:space="preserve">.  By its execution below, WestLB hereby (i) waives the requirement set forth in </w:t>
      </w:r>
      <w:r>
        <w:rPr>
          <w:rStyle w:val="underline"/>
        </w:rPr>
        <w:t>Section 9.1</w:t>
      </w:r>
      <w:r>
        <w:rPr/>
        <w:t xml:space="preserve"> </w:t>
      </w:r>
      <w:r>
        <w:rPr>
          <w:u w:val="double"/>
        </w:rPr>
        <w:t>of the Development Agreement</w:t>
      </w:r>
      <w:r>
        <w:rPr/>
        <w:t xml:space="preserve">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numPr>
          <w:ilvl w:val="0"/>
          <w:numId w:val="0"/>
        </w:numPr>
        <w:ind w:firstLine="720" w:start="0" w:end="0"/>
        <w:rPr/>
      </w:pPr>
      <w:r>
        <w:rPr/>
        <w:t xml:space="preserve"> </w:t>
      </w:r>
      <w:r>
        <w:rPr>
          <w:strike/>
        </w:rPr>
        <w:t>9</w:t>
      </w:r>
    </w:p>
    <w:p>
      <w:pPr>
        <w:pStyle w:val="Heading1"/>
        <w:numPr>
          <w:ilvl w:val="0"/>
          <w:numId w:val="0"/>
        </w:numPr>
        <w:ind w:firstLine="720" w:start="0" w:end="0"/>
        <w:rPr/>
      </w:pPr>
      <w:r>
        <w:rPr>
          <w:u w:val="double"/>
        </w:rPr>
        <w:t>8</w:t>
      </w:r>
      <w:r>
        <w:rPr/>
        <w:t>.</w:t>
        <w:tab/>
      </w:r>
      <w:r>
        <w:rPr>
          <w:u w:val="single"/>
        </w:rPr>
        <w:t>Binding Effect: Purposes</w:t>
      </w:r>
      <w:r>
        <w:rPr/>
        <w:t>.  This Agreement shall inure to the benefit of and shall be binding upon WestLB, DevCo, ENA and their respective successors and assigns.</w:t>
      </w:r>
    </w:p>
    <w:p>
      <w:pPr>
        <w:pStyle w:val="Heading1"/>
        <w:numPr>
          <w:ilvl w:val="0"/>
          <w:numId w:val="0"/>
        </w:numPr>
        <w:ind w:firstLine="720" w:start="0" w:end="0"/>
        <w:rPr/>
      </w:pPr>
      <w:r>
        <w:rPr/>
        <w:t xml:space="preserve"> </w:t>
      </w:r>
      <w:r>
        <w:rPr>
          <w:strike/>
        </w:rPr>
        <w:t>10</w:t>
      </w:r>
    </w:p>
    <w:p>
      <w:pPr>
        <w:pStyle w:val="Heading1"/>
        <w:numPr>
          <w:ilvl w:val="0"/>
          <w:numId w:val="0"/>
        </w:numPr>
        <w:ind w:firstLine="720" w:start="0" w:end="0"/>
        <w:rPr/>
      </w:pPr>
      <w:r>
        <w:rPr>
          <w:u w:val="double"/>
        </w:rPr>
        <w:t>9</w:t>
      </w:r>
      <w:r>
        <w:rPr/>
        <w:t>.</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 xml:space="preserve"> </w:t>
      </w:r>
      <w:r>
        <w:rPr>
          <w:strike/>
        </w:rPr>
        <w:t>11</w:t>
      </w:r>
    </w:p>
    <w:p>
      <w:pPr>
        <w:pStyle w:val="Heading1"/>
        <w:numPr>
          <w:ilvl w:val="0"/>
          <w:numId w:val="0"/>
        </w:numPr>
        <w:ind w:firstLine="720" w:start="0" w:end="0"/>
        <w:rPr/>
      </w:pPr>
      <w:r>
        <w:rPr>
          <w:u w:val="double"/>
        </w:rPr>
        <w:t>10</w:t>
      </w:r>
      <w:r>
        <w:rPr/>
        <w:t>.</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double"/>
        </w:rPr>
        <w:t>ENA:</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u w:val="double"/>
        </w:rPr>
      </w:pPr>
      <w:r>
        <w:rPr>
          <w:u w:val="double"/>
        </w:rPr>
        <w:t>DEVCO:</w:t>
      </w:r>
    </w:p>
    <w:p>
      <w:pPr>
        <w:pStyle w:val="WSSignature-35LftIndnt-RghtTab"/>
        <w:rPr/>
      </w:pPr>
      <w:r>
        <w:rPr/>
        <w:t>E-NEXT GENERATION LLC</w:t>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u w:val="double"/>
        </w:rPr>
      </w:pPr>
      <w:r>
        <w:rPr>
          <w:u w:val="double"/>
        </w:rPr>
        <w:t>WESTLB:</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strike/>
        </w:rPr>
        <w:t>Turbine Contract</w:t>
      </w:r>
      <w:r>
        <w:rPr/>
        <w:t xml:space="preserve"> </w:t>
      </w:r>
      <w:r>
        <w:rPr>
          <w:u w:val="double"/>
        </w:rPr>
        <w:t>LM6000 Turbine Contract</w:t>
      </w:r>
    </w:p>
    <w:p>
      <w:pPr>
        <w:pStyle w:val="CenteredHeading"/>
        <w:jc w:val="both"/>
        <w:rPr>
          <w:u w:val="none"/>
        </w:rPr>
      </w:pPr>
      <w:r>
        <w:rPr>
          <w:strike/>
          <w:u w:val="none"/>
        </w:rPr>
        <w:t>[Describe Turbines]</w:t>
      </w:r>
    </w:p>
    <w:p>
      <w:pPr>
        <w:pStyle w:val="CenteredHeading"/>
        <w:jc w:val="both"/>
        <w:rPr>
          <w:u w:val="double"/>
        </w:rPr>
      </w:pPr>
      <w:r>
        <w:rPr>
          <w:u w:val="double"/>
        </w:rPr>
        <w:t>[__] LM6000 combustion turbine generator sets with [__] sets of Sprint Power Boost Enhanced System Hardware having the following Unit Serial Numbers, together with all other equipment related thereto:</w:t>
      </w:r>
    </w:p>
    <w:p>
      <w:pPr>
        <w:pStyle w:val="CenteredHeading"/>
        <w:jc w:val="both"/>
        <w:rPr>
          <w:u w:val="double"/>
        </w:rPr>
      </w:pPr>
      <w:r>
        <w:rPr>
          <w:u w:val="double"/>
        </w:rPr>
        <w:t>[List]</w:t>
      </w:r>
    </w:p>
    <w:p>
      <w:pPr>
        <w:pStyle w:val="CenteredHeading"/>
        <w:jc w:val="both"/>
        <w:rPr/>
      </w:pPr>
      <w:r>
        <w:rPr>
          <w:u w:val="double"/>
        </w:rPr>
        <w:t>II.</w:t>
      </w:r>
      <w:r>
        <w:rPr>
          <w:u w:val="none"/>
        </w:rPr>
        <w:tab/>
      </w:r>
      <w:r>
        <w:rPr>
          <w:u w:val="double"/>
        </w:rPr>
        <w:t>HRSG Turbine Contract</w:t>
      </w:r>
    </w:p>
    <w:p>
      <w:pPr>
        <w:pStyle w:val="CenteredHeading"/>
        <w:jc w:val="both"/>
        <w:rPr>
          <w:u w:val="double"/>
        </w:rPr>
      </w:pPr>
      <w:r>
        <w:rPr>
          <w:u w:val="double"/>
        </w:rPr>
        <w:t>Four (4) once through steam generators, four (4) selective catalytic reduction units, four (4) carbon monoxide reactors and four (4) ammonia injection systems, together with all other equipment related thereto or referenced therein.</w:t>
      </w:r>
    </w:p>
    <w:p>
      <w:pPr>
        <w:pStyle w:val="CenteredHeading"/>
        <w:jc w:val="both"/>
        <w:rPr/>
      </w:pPr>
      <w:r>
        <w:rPr>
          <w:u w:val="double"/>
        </w:rPr>
        <w:t>III.</w:t>
      </w:r>
      <w:r>
        <w:rPr>
          <w:u w:val="none"/>
        </w:rPr>
        <w:tab/>
      </w:r>
      <w:r>
        <w:rPr>
          <w:u w:val="double"/>
        </w:rPr>
        <w:t>Steam Turbine Contract</w:t>
      </w:r>
    </w:p>
    <w:p>
      <w:pPr>
        <w:pStyle w:val="CenteredHeading"/>
        <w:jc w:val="both"/>
        <w:rPr>
          <w:u w:val="double"/>
        </w:rPr>
      </w:pPr>
      <w:r>
        <w:rPr>
          <w:u w:val="double"/>
        </w:rPr>
        <w:t>Four (4) once through steam generators and four (4) emissions packages including SCR unit, CO unit, AIG and system, together with all other equipment related thereto or referenced therein.</w:t>
      </w:r>
    </w:p>
    <w:p>
      <w:pPr>
        <w:pStyle w:val="CenteredHeading"/>
        <w:jc w:val="both"/>
        <w:rPr/>
      </w:pPr>
      <w:r>
        <w:rPr>
          <w:u w:val="double"/>
        </w:rPr>
        <w:t>IV.</w:t>
      </w:r>
      <w:r>
        <w:rPr>
          <w:u w:val="none"/>
        </w:rPr>
        <w:tab/>
      </w:r>
      <w:r>
        <w:rPr>
          <w:u w:val="double"/>
        </w:rPr>
        <w:t>Ancillary Agreements</w:t>
      </w:r>
    </w:p>
    <w:p>
      <w:pPr>
        <w:pStyle w:val="CenteredHeading"/>
        <w:ind w:start="720" w:end="0"/>
        <w:jc w:val="both"/>
        <w:rPr>
          <w:u w:val="double"/>
        </w:rPr>
      </w:pPr>
      <w:r>
        <w:rPr>
          <w:u w:val="double"/>
        </w:rPr>
        <w:t>Agreement, dated July 14, 2000, between WestLB, acting through its Agent ENA, and ABB Power T&amp;D Company, for 10 Power Transformer Packages:</w:t>
      </w:r>
    </w:p>
    <w:p>
      <w:pPr>
        <w:pStyle w:val="CenteredHeading"/>
        <w:ind w:start="1440" w:end="0"/>
        <w:jc w:val="both"/>
        <w:rPr>
          <w:u w:val="double"/>
        </w:rPr>
      </w:pPr>
      <w:r>
        <w:rPr>
          <w:u w:val="double"/>
        </w:rPr>
        <w:t>Eight (8) power transformer packages, together with all other equipment related thereto or referenced therein.</w:t>
      </w:r>
    </w:p>
    <w:p>
      <w:pPr>
        <w:pStyle w:val="CenteredHeading"/>
        <w:ind w:start="1440" w:end="0"/>
        <w:jc w:val="both"/>
        <w:rPr>
          <w:u w:val="double"/>
        </w:rPr>
      </w:pPr>
      <w:r>
        <w:rPr>
          <w:u w:val="double"/>
        </w:rPr>
      </w:r>
    </w:p>
    <w:p>
      <w:pPr>
        <w:pStyle w:val="CenteredHeading"/>
        <w:ind w:start="720" w:end="0"/>
        <w:jc w:val="both"/>
        <w:rPr>
          <w:rStyle w:val="bold"/>
          <w:u w:val="none"/>
        </w:rPr>
      </w:pPr>
      <w:r>
        <w:rPr>
          <w:u w:val="double"/>
        </w:rPr>
        <w:t>[List other Ancillary Agreements]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 xml:space="preserve">All contractual rights and obligations of WestLB set forth in the </w:t>
      </w:r>
      <w:r>
        <w:rPr>
          <w:strike/>
        </w:rPr>
        <w:t xml:space="preserve">Turbine Contract </w:t>
      </w:r>
      <w:r>
        <w:rPr>
          <w:u w:val="double"/>
        </w:rPr>
        <w:t>LM6000 Turbine Contract, the HRSG Turbine Contract, the Steam Turbine Contract or any other Ancillary Agreement</w:t>
      </w:r>
      <w:r>
        <w:rPr/>
        <w:t xml:space="preserve"> relating to the Assigned Equipment referenced </w:t>
      </w:r>
      <w:r>
        <w:rPr>
          <w:strike/>
        </w:rPr>
        <w:t>under Part I of</w:t>
      </w:r>
      <w:r>
        <w:rPr/>
        <w:t xml:space="preserve">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C:\DOCUME~1\TAYLR\LOCALS~1\TEMP\HOU_593834_1</w:t>
      </w:r>
    </w:p>
    <w:p>
      <w:pPr>
        <w:pStyle w:val="CenteredHeading"/>
        <w:jc w:val="both"/>
        <w:rPr/>
      </w:pPr>
      <w:r>
        <w:rPr/>
        <w:t>and revised document: C:\DOCUME~1\TAYLR\LOCALS~1\TEMP\HOU_593834_2</w:t>
      </w:r>
    </w:p>
    <w:p>
      <w:pPr>
        <w:pStyle w:val="CenteredHeading"/>
        <w:jc w:val="both"/>
        <w:rPr/>
      </w:pPr>
      <w:r>
        <w:rPr/>
      </w:r>
    </w:p>
    <w:p>
      <w:pPr>
        <w:pStyle w:val="CenteredHeading"/>
        <w:jc w:val="both"/>
        <w:rPr/>
      </w:pPr>
      <w:r>
        <w:rPr/>
        <w:t>CompareRite found   21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HOU:593834.2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12/7/00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bCs/>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2000-12-08T00:25:00Z</dcterms:created>
  <dc:creator>A&amp;K</dc:creator>
  <dc:description/>
  <dc:language>en-CA</dc:language>
  <cp:lastModifiedBy>A&amp;K</cp:lastModifiedBy>
  <cp:lastPrinted>2000-12-07T20:51:00Z</cp:lastPrinted>
  <dcterms:modified xsi:type="dcterms:W3CDTF">2000-12-08T00:25:00Z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HOU:593834.2 </vt:lpwstr>
  </property>
</Properties>
</file>