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center"/>
        <w:rPr>
          <w:b/>
        </w:rPr>
      </w:pPr>
      <w:r>
        <w:rPr>
          <w:b/>
        </w:rPr>
        <w:t>ENERGY BAR ASSOCIATION</w:t>
      </w:r>
    </w:p>
    <w:p>
      <w:pPr>
        <w:pStyle w:val="Normal"/>
        <w:widowControl/>
        <w:tabs>
          <w:tab w:val="clear" w:pos="720"/>
          <w:tab w:val="center" w:pos="4680" w:leader="none"/>
        </w:tabs>
        <w:jc w:val="center"/>
        <w:rPr>
          <w:b/>
        </w:rPr>
      </w:pPr>
      <w:r>
        <w:rPr>
          <w:b/>
        </w:rPr>
        <w:t>SOUTH-CENTRALCHAPTER</w:t>
      </w:r>
    </w:p>
    <w:p>
      <w:pPr>
        <w:pStyle w:val="Normal"/>
        <w:widowControl/>
        <w:tabs>
          <w:tab w:val="clear" w:pos="720"/>
          <w:tab w:val="center" w:pos="4680" w:leader="none"/>
        </w:tabs>
        <w:jc w:val="center"/>
        <w:rPr/>
      </w:pPr>
      <w:r>
        <w:rPr/>
      </w:r>
    </w:p>
    <w:p>
      <w:pPr>
        <w:pStyle w:val="Heading1"/>
        <w:jc w:val="center"/>
        <w:rPr>
          <w:b w:val="false"/>
          <w:i/>
          <w:i/>
          <w:sz w:val="28"/>
        </w:rPr>
      </w:pPr>
      <w:r>
        <w:rPr>
          <w:b w:val="false"/>
          <w:i/>
          <w:sz w:val="28"/>
        </w:rPr>
        <w:t>ROYALTY CONTROVERSIES IN THE GULF OF MEXICO</w:t>
      </w:r>
    </w:p>
    <w:p>
      <w:pPr>
        <w:pStyle w:val="Normal"/>
        <w:rPr>
          <w:b/>
          <w:i/>
          <w:i/>
          <w:sz w:val="28"/>
        </w:rPr>
      </w:pPr>
      <w:r>
        <w:rPr>
          <w:b/>
          <w:i/>
          <w:sz w:val="28"/>
        </w:rPr>
      </w:r>
    </w:p>
    <w:p>
      <w:pPr>
        <w:pStyle w:val="Normal"/>
        <w:jc w:val="center"/>
        <w:rPr>
          <w:b/>
          <w:sz w:val="28"/>
        </w:rPr>
      </w:pPr>
      <w:r>
        <w:rPr>
          <w:b/>
          <w:sz w:val="28"/>
        </w:rPr>
        <w:t>Friday, December 8, 2000</w:t>
      </w:r>
    </w:p>
    <w:p>
      <w:pPr>
        <w:pStyle w:val="Normal"/>
        <w:widowControl/>
        <w:tabs>
          <w:tab w:val="clear" w:pos="720"/>
          <w:tab w:val="center" w:pos="4680" w:leader="none"/>
        </w:tabs>
        <w:jc w:val="center"/>
        <w:rPr>
          <w:b/>
        </w:rPr>
      </w:pPr>
      <w:r>
        <w:rPr>
          <w:b/>
        </w:rPr>
        <w:t>New Orleans, Louisiana</w:t>
      </w:r>
    </w:p>
    <w:p>
      <w:pPr>
        <w:pStyle w:val="Normal"/>
        <w:widowControl/>
        <w:tabs>
          <w:tab w:val="clear" w:pos="720"/>
          <w:tab w:val="center" w:pos="4680" w:leader="none"/>
        </w:tabs>
        <w:rPr/>
      </w:pPr>
      <w:r>
        <w:rPr>
          <w:rFonts w:eastAsia="Arial"/>
          <w:b/>
          <w:u w:val="single"/>
        </w:rPr>
        <w:t xml:space="preserve">                                                                                                                                           </w:t>
      </w:r>
      <w:r>
        <w:rPr>
          <w:b/>
        </w:rPr>
        <w:tab/>
      </w:r>
    </w:p>
    <w:p>
      <w:pPr>
        <w:pStyle w:val="BodyText"/>
        <w:rPr/>
      </w:pPr>
      <w:r>
        <w:rPr/>
      </w:r>
    </w:p>
    <w:p>
      <w:pPr>
        <w:pStyle w:val="BodyText"/>
        <w:rPr/>
      </w:pPr>
      <w:r>
        <w:rPr/>
        <w:t xml:space="preserve">The South-Central Chapter of the Energy Bar Association is pleased to present its second annual Royalty Seminar in New Orleans.  The seminar on Royalty issues in the Gulf of Mexico will bring together experts from industry, government, and the bar to discuss major controversies about mineral lessees’ obligations to the government for oil and gas produced in the Outer Continental Shelf. </w:t>
      </w:r>
    </w:p>
    <w:p>
      <w:pPr>
        <w:pStyle w:val="BodyText"/>
        <w:rPr>
          <w:b/>
          <w:u w:val="single"/>
        </w:rPr>
      </w:pPr>
      <w:r>
        <w:rPr>
          <w:rFonts w:eastAsia="Arial"/>
          <w:b/>
          <w:sz w:val="24"/>
          <w:u w:val="single"/>
        </w:rPr>
        <w:t xml:space="preserve">                                                                                                                                           </w:t>
      </w:r>
    </w:p>
    <w:p>
      <w:pPr>
        <w:pStyle w:val="BodyText"/>
        <w:jc w:val="center"/>
        <w:rPr>
          <w:b/>
        </w:rPr>
      </w:pPr>
      <w:r>
        <w:rPr>
          <w:b/>
        </w:rPr>
        <w:t>PROGRAM COMMITTEE</w:t>
      </w:r>
    </w:p>
    <w:p>
      <w:pPr>
        <w:pStyle w:val="BodyText"/>
        <w:rPr>
          <w:b/>
          <w:sz w:val="18"/>
        </w:rPr>
      </w:pPr>
      <w:r>
        <w:rPr>
          <w:b/>
          <w:sz w:val="18"/>
        </w:rPr>
      </w:r>
    </w:p>
    <w:p>
      <w:pPr>
        <w:pStyle w:val="BodyText"/>
        <w:rPr>
          <w:sz w:val="18"/>
        </w:rPr>
      </w:pPr>
      <w:r>
        <w:rPr>
          <w:sz w:val="18"/>
        </w:rPr>
        <w:t>George Frazier, Program Co-Chairman, Lemle &amp; Kelleher, LLP</w:t>
        <w:tab/>
        <w:tab/>
        <w:t>David Deal, American Petroleum Institute,</w:t>
      </w:r>
    </w:p>
    <w:p>
      <w:pPr>
        <w:pStyle w:val="BodyText"/>
        <w:rPr>
          <w:sz w:val="18"/>
        </w:rPr>
      </w:pPr>
      <w:r>
        <w:rPr>
          <w:rFonts w:eastAsia="Arial"/>
          <w:sz w:val="18"/>
        </w:rPr>
        <w:t xml:space="preserve">   </w:t>
      </w:r>
      <w:r>
        <w:rPr>
          <w:sz w:val="18"/>
        </w:rPr>
        <w:t>New Orleans, LA</w:t>
        <w:tab/>
        <w:tab/>
        <w:tab/>
        <w:t xml:space="preserve">   Washington, DC</w:t>
      </w:r>
    </w:p>
    <w:p>
      <w:pPr>
        <w:pStyle w:val="BodyText"/>
        <w:rPr>
          <w:sz w:val="18"/>
        </w:rPr>
      </w:pPr>
      <w:r>
        <w:rPr>
          <w:sz w:val="18"/>
        </w:rPr>
        <w:t>Timothy J. Jacquet, Program Co-Chairman, Dominion Exploration</w:t>
        <w:tab/>
        <w:t>L. Poe Leggett, Fulbright &amp; Jaworski LLP,</w:t>
      </w:r>
    </w:p>
    <w:p>
      <w:pPr>
        <w:pStyle w:val="BodyText"/>
        <w:rPr>
          <w:sz w:val="18"/>
        </w:rPr>
      </w:pPr>
      <w:r>
        <w:rPr>
          <w:rFonts w:eastAsia="Arial"/>
          <w:sz w:val="18"/>
        </w:rPr>
        <w:t xml:space="preserve">    </w:t>
      </w:r>
      <w:r>
        <w:rPr>
          <w:sz w:val="18"/>
        </w:rPr>
        <w:t>New Orleans, LA</w:t>
        <w:tab/>
        <w:tab/>
        <w:tab/>
        <w:t xml:space="preserve">  Washington, DC</w:t>
      </w:r>
    </w:p>
    <w:p>
      <w:pPr>
        <w:pStyle w:val="BodyText"/>
        <w:rPr>
          <w:sz w:val="18"/>
        </w:rPr>
      </w:pPr>
      <w:r>
        <w:rPr>
          <w:sz w:val="18"/>
        </w:rPr>
        <w:t>Geoffrey Heath, Department of Interior,</w:t>
        <w:tab/>
        <w:tab/>
        <w:tab/>
        <w:t>Scott A. O’Connor, Gordon, Arata,</w:t>
      </w:r>
    </w:p>
    <w:p>
      <w:pPr>
        <w:pStyle w:val="BodyText"/>
        <w:rPr>
          <w:sz w:val="18"/>
        </w:rPr>
      </w:pPr>
      <w:r>
        <w:rPr>
          <w:rFonts w:eastAsia="Arial"/>
          <w:sz w:val="18"/>
        </w:rPr>
        <w:t xml:space="preserve">    </w:t>
      </w:r>
      <w:r>
        <w:rPr>
          <w:sz w:val="18"/>
        </w:rPr>
        <w:t>Washington, DC</w:t>
        <w:tab/>
        <w:tab/>
        <w:tab/>
        <w:t xml:space="preserve">   New Orleans, LA</w:t>
      </w:r>
    </w:p>
    <w:p>
      <w:pPr>
        <w:pStyle w:val="BodyTextIndent"/>
        <w:ind w:hanging="0" w:start="5760" w:end="0"/>
        <w:rPr>
          <w:rFonts w:ascii="Arial" w:hAnsi="Arial" w:cs="Arial"/>
          <w:sz w:val="18"/>
        </w:rPr>
      </w:pPr>
      <w:r>
        <w:rPr>
          <w:rFonts w:cs="Arial" w:ascii="Arial" w:hAnsi="Arial"/>
          <w:sz w:val="18"/>
        </w:rPr>
        <w:t xml:space="preserve">F. Neelis Roberts, Schully, Roberts, </w:t>
      </w:r>
    </w:p>
    <w:p>
      <w:pPr>
        <w:pStyle w:val="BodyTextIndent"/>
        <w:ind w:hanging="0" w:start="5760" w:end="0"/>
        <w:rPr>
          <w:rFonts w:ascii="Arial" w:hAnsi="Arial" w:cs="Arial"/>
          <w:b/>
          <w:sz w:val="18"/>
        </w:rPr>
      </w:pPr>
      <w:r>
        <w:rPr>
          <w:rFonts w:eastAsia="Arial" w:cs="Arial" w:ascii="Arial" w:hAnsi="Arial"/>
          <w:sz w:val="18"/>
        </w:rPr>
        <w:t xml:space="preserve">   </w:t>
      </w:r>
      <w:r>
        <w:rPr>
          <w:rFonts w:cs="Arial" w:ascii="Arial" w:hAnsi="Arial"/>
          <w:sz w:val="18"/>
        </w:rPr>
        <w:t xml:space="preserve">New Orleans, LA </w:t>
      </w:r>
    </w:p>
    <w:p>
      <w:pPr>
        <w:pStyle w:val="BodyText"/>
        <w:rPr>
          <w:sz w:val="18"/>
        </w:rPr>
      </w:pPr>
      <w:r>
        <w:rPr>
          <w:sz w:val="18"/>
        </w:rPr>
        <w:tab/>
        <w:tab/>
        <w:tab/>
        <w:t xml:space="preserve"> </w:t>
      </w:r>
    </w:p>
    <w:p>
      <w:pPr>
        <w:pStyle w:val="BodyText"/>
        <w:rPr>
          <w:b/>
          <w:sz w:val="24"/>
          <w:u w:val="single"/>
        </w:rPr>
      </w:pPr>
      <w:r>
        <w:rPr>
          <w:b/>
          <w:sz w:val="24"/>
          <w:u w:val="single"/>
        </w:rPr>
        <w:tab/>
        <w:tab/>
        <w:tab/>
        <w:tab/>
        <w:tab/>
        <w:tab/>
        <w:tab/>
        <w:tab/>
      </w:r>
    </w:p>
    <w:p>
      <w:pPr>
        <w:pStyle w:val="BodyText"/>
        <w:rPr>
          <w:b/>
          <w:u w:val="single"/>
        </w:rPr>
      </w:pPr>
      <w:r>
        <w:rPr/>
        <w:tab/>
      </w:r>
    </w:p>
    <w:p>
      <w:pPr>
        <w:pStyle w:val="Normal"/>
        <w:widowControl/>
        <w:tabs>
          <w:tab w:val="clear" w:pos="720"/>
          <w:tab w:val="center" w:pos="4680" w:leader="none"/>
        </w:tabs>
        <w:rPr>
          <w:sz w:val="20"/>
        </w:rPr>
      </w:pPr>
      <w:r>
        <w:rPr>
          <w:b/>
          <w:sz w:val="20"/>
        </w:rPr>
        <w:tab/>
        <w:t>PROGRAM OUTLINE</w:t>
      </w:r>
    </w:p>
    <w:p>
      <w:pPr>
        <w:pStyle w:val="Normal"/>
        <w:widowControl/>
        <w:rPr>
          <w:sz w:val="20"/>
        </w:rPr>
      </w:pPr>
      <w:r>
        <w:rPr>
          <w:sz w:val="20"/>
        </w:rPr>
      </w:r>
    </w:p>
    <w:p>
      <w:pPr>
        <w:pStyle w:val="Normal"/>
        <w:widowControl/>
        <w:rPr>
          <w:sz w:val="20"/>
        </w:rPr>
      </w:pPr>
      <w:r>
        <w:rPr>
          <w:sz w:val="20"/>
        </w:rPr>
      </w:r>
    </w:p>
    <w:p>
      <w:pPr>
        <w:pStyle w:val="Normal"/>
        <w:widowControl/>
        <w:tabs>
          <w:tab w:val="clear" w:pos="720"/>
          <w:tab w:val="left" w:pos="-1440" w:leader="none"/>
        </w:tabs>
        <w:ind w:hanging="2160" w:start="2160" w:end="0"/>
        <w:rPr/>
      </w:pPr>
      <w:r>
        <w:rPr/>
        <w:t>8:15–9:00</w:t>
        <w:tab/>
        <w:tab/>
      </w:r>
      <w:r>
        <w:rPr>
          <w:b/>
        </w:rPr>
        <w:t xml:space="preserve">Registration </w:t>
      </w:r>
    </w:p>
    <w:p>
      <w:pPr>
        <w:pStyle w:val="Normal"/>
        <w:widowControl/>
        <w:rPr/>
      </w:pPr>
      <w:r>
        <w:rPr/>
      </w:r>
    </w:p>
    <w:p>
      <w:pPr>
        <w:pStyle w:val="Normal"/>
        <w:rPr/>
      </w:pPr>
      <w:r>
        <w:rPr/>
        <w:t>9:00-9:05</w:t>
        <w:tab/>
        <w:tab/>
      </w:r>
      <w:r>
        <w:rPr>
          <w:b/>
        </w:rPr>
        <w:t>Welcoming Remarks</w:t>
      </w:r>
      <w:r>
        <w:rPr/>
        <w:t xml:space="preserve"> </w:t>
      </w:r>
    </w:p>
    <w:p>
      <w:pPr>
        <w:pStyle w:val="Normal"/>
        <w:rPr/>
      </w:pPr>
      <w:r>
        <w:rPr/>
      </w:r>
    </w:p>
    <w:p>
      <w:pPr>
        <w:pStyle w:val="Heading3"/>
        <w:ind w:firstLine="720" w:end="0"/>
        <w:rPr/>
      </w:pPr>
      <w:r>
        <w:rPr/>
        <w:t xml:space="preserve">George Frazier </w:t>
      </w:r>
    </w:p>
    <w:p>
      <w:pPr>
        <w:pStyle w:val="Heading3"/>
        <w:ind w:firstLine="720" w:end="0"/>
        <w:rPr/>
      </w:pPr>
      <w:r>
        <w:rPr/>
        <w:t>Lemle &amp; Kelleher LLP, New Orleans, Louisiana</w:t>
      </w:r>
    </w:p>
    <w:p>
      <w:pPr>
        <w:pStyle w:val="Heading3"/>
        <w:ind w:firstLine="720" w:end="0"/>
        <w:rPr/>
      </w:pPr>
      <w:r>
        <w:rPr/>
        <w:t>President, South-Central Chapter, Energy Bar Association</w:t>
      </w:r>
    </w:p>
    <w:p>
      <w:pPr>
        <w:pStyle w:val="Normal"/>
        <w:rPr/>
      </w:pPr>
      <w:r>
        <w:rPr/>
      </w:r>
    </w:p>
    <w:p>
      <w:pPr>
        <w:pStyle w:val="BodyTextIndent"/>
        <w:ind w:hanging="2160" w:start="2160" w:end="0"/>
        <w:rPr>
          <w:rFonts w:ascii="Arial" w:hAnsi="Arial" w:cs="Arial"/>
        </w:rPr>
      </w:pPr>
      <w:r>
        <w:rPr>
          <w:rFonts w:cs="Arial" w:ascii="Arial" w:hAnsi="Arial"/>
        </w:rPr>
        <w:t>9:10-10:00</w:t>
      </w:r>
      <w:r>
        <w:rPr>
          <w:rFonts w:cs="Arial" w:ascii="Arial" w:hAnsi="Arial"/>
          <w:b/>
        </w:rPr>
        <w:tab/>
        <w:tab/>
        <w:t>Royalty issues arising under state oil and gas leases in the Gulf of Mexico and current Qui Tam litigation affecting both state and federal oil and gas leases.</w:t>
      </w:r>
    </w:p>
    <w:p>
      <w:pPr>
        <w:pStyle w:val="BodyTextIndent"/>
        <w:ind w:hanging="1440" w:start="1440" w:end="0"/>
        <w:rPr>
          <w:rFonts w:ascii="Arial" w:hAnsi="Arial" w:cs="Arial"/>
        </w:rPr>
      </w:pPr>
      <w:r>
        <w:rPr>
          <w:rFonts w:cs="Arial" w:ascii="Arial" w:hAnsi="Arial"/>
        </w:rPr>
      </w:r>
    </w:p>
    <w:p>
      <w:pPr>
        <w:pStyle w:val="BodyTextIndent"/>
        <w:ind w:hanging="0" w:start="2160" w:end="0"/>
        <w:rPr>
          <w:rFonts w:ascii="Arial" w:hAnsi="Arial" w:cs="Arial"/>
          <w:i/>
          <w:i/>
        </w:rPr>
      </w:pPr>
      <w:r>
        <w:rPr>
          <w:rFonts w:cs="Arial" w:ascii="Arial" w:hAnsi="Arial"/>
          <w:i/>
        </w:rPr>
        <w:t xml:space="preserve">Royalty issues have arisen under state oil and gas leases in the Gulf of Mexico. Qui Tam litigation under the False Claims Act regarding the valuation of oil produced from offshore federal oil and gas leases continues against certain lessees in federal court in Lufkin, Texas.  Litigation involving the valuation of gas produced from federal and state oil and gas leases is also pending. Our speaker will analyze the pending disputes and litigation.     </w:t>
      </w:r>
    </w:p>
    <w:p>
      <w:pPr>
        <w:pStyle w:val="BodyTextIndent"/>
        <w:ind w:hanging="1440" w:start="1440" w:end="0"/>
        <w:rPr>
          <w:rFonts w:ascii="Arial" w:hAnsi="Arial" w:cs="Arial"/>
          <w:i/>
          <w:i/>
        </w:rPr>
      </w:pPr>
      <w:r>
        <w:rPr>
          <w:rFonts w:cs="Arial" w:ascii="Arial" w:hAnsi="Arial"/>
          <w:i/>
        </w:rPr>
      </w:r>
    </w:p>
    <w:p>
      <w:pPr>
        <w:pStyle w:val="BodyTextIndent"/>
        <w:ind w:hanging="1440" w:start="1440" w:end="0"/>
        <w:rPr/>
      </w:pPr>
      <w:r>
        <w:rPr>
          <w:rFonts w:cs="Arial" w:ascii="Arial" w:hAnsi="Arial"/>
          <w:sz w:val="20"/>
        </w:rPr>
        <w:tab/>
        <w:tab/>
        <w:tab/>
      </w:r>
      <w:r>
        <w:rPr>
          <w:rFonts w:cs="Arial" w:ascii="Arial" w:hAnsi="Arial"/>
          <w:b/>
          <w:sz w:val="20"/>
        </w:rPr>
        <w:t>Scott A. O’Connor</w:t>
      </w:r>
    </w:p>
    <w:p>
      <w:pPr>
        <w:pStyle w:val="BodyTextIndent"/>
        <w:ind w:firstLine="720" w:start="1440" w:end="0"/>
        <w:rPr>
          <w:rFonts w:ascii="Arial" w:hAnsi="Arial" w:cs="Arial"/>
          <w:b/>
          <w:sz w:val="20"/>
        </w:rPr>
      </w:pPr>
      <w:r>
        <w:rPr>
          <w:rFonts w:cs="Arial" w:ascii="Arial" w:hAnsi="Arial"/>
          <w:b/>
          <w:sz w:val="20"/>
        </w:rPr>
        <w:t>Gordon, Arata, McCollam, Duplantis &amp; Eagan, New Orleans, Louisiana.</w:t>
      </w:r>
    </w:p>
    <w:p>
      <w:pPr>
        <w:pStyle w:val="BodyTextIndent"/>
        <w:ind w:hanging="2160" w:start="2160" w:end="0"/>
        <w:rPr/>
      </w:pPr>
      <w:r>
        <w:rPr>
          <w:rFonts w:cs="Arial" w:ascii="Arial" w:hAnsi="Arial"/>
        </w:rPr>
        <w:t>10:10-11:00</w:t>
        <w:tab/>
        <w:tab/>
      </w:r>
      <w:r>
        <w:rPr>
          <w:rFonts w:cs="Arial" w:ascii="Arial" w:hAnsi="Arial"/>
          <w:b/>
        </w:rPr>
        <w:t>Update regarding MMS valuation and cost allowance regulations for the OCS; duty to market issues under the regulations.</w:t>
      </w:r>
    </w:p>
    <w:p>
      <w:pPr>
        <w:pStyle w:val="BodyTextIndent"/>
        <w:ind w:hanging="1440" w:start="1440" w:end="0"/>
        <w:rPr>
          <w:rFonts w:ascii="Arial" w:hAnsi="Arial" w:cs="Arial"/>
          <w:b/>
        </w:rPr>
      </w:pPr>
      <w:r>
        <w:rPr>
          <w:rFonts w:cs="Arial" w:ascii="Arial" w:hAnsi="Arial"/>
          <w:b/>
        </w:rPr>
      </w:r>
    </w:p>
    <w:p>
      <w:pPr>
        <w:pStyle w:val="BodyTextIndent"/>
        <w:ind w:hanging="0" w:start="2160" w:end="0"/>
        <w:rPr>
          <w:rFonts w:ascii="Arial" w:hAnsi="Arial" w:cs="Arial"/>
          <w:i/>
          <w:i/>
        </w:rPr>
      </w:pPr>
      <w:r>
        <w:rPr>
          <w:rFonts w:cs="Arial" w:ascii="Arial" w:hAnsi="Arial"/>
          <w:i/>
        </w:rPr>
        <w:t xml:space="preserve">MMS regulations fundamentally change the procedures used to value crude oil. Similar changes may be in store for gas valuation.  MMS regulations also impose a duty on the lessee “to market for the mutual benefit of the lessor and the lessee, at no cost to the lessor”.  In addition, the MMS has modified its regulations and policies regarding cost allowances. Our speakers will review these developments, particularly as they affect the Outer Continental Shelf.      </w:t>
      </w:r>
    </w:p>
    <w:p>
      <w:pPr>
        <w:pStyle w:val="BodyTextIndent"/>
        <w:rPr>
          <w:rFonts w:ascii="Arial" w:hAnsi="Arial" w:cs="Arial"/>
          <w:i/>
          <w:i/>
        </w:rPr>
      </w:pPr>
      <w:r>
        <w:rPr>
          <w:rFonts w:cs="Arial" w:ascii="Arial" w:hAnsi="Arial"/>
          <w:i/>
        </w:rPr>
      </w:r>
    </w:p>
    <w:p>
      <w:pPr>
        <w:pStyle w:val="BodyTextIndent"/>
        <w:ind w:firstLine="1440" w:end="0"/>
        <w:rPr>
          <w:rFonts w:ascii="Arial" w:hAnsi="Arial" w:cs="Arial"/>
          <w:b/>
          <w:sz w:val="20"/>
        </w:rPr>
      </w:pPr>
      <w:r>
        <w:rPr>
          <w:rFonts w:cs="Arial" w:ascii="Arial" w:hAnsi="Arial"/>
          <w:b/>
          <w:sz w:val="20"/>
        </w:rPr>
        <w:t>David Deal</w:t>
      </w:r>
    </w:p>
    <w:p>
      <w:pPr>
        <w:pStyle w:val="BodyTextIndent"/>
        <w:ind w:firstLine="1440" w:end="0"/>
        <w:rPr>
          <w:rFonts w:ascii="Arial" w:hAnsi="Arial" w:cs="Arial"/>
          <w:b/>
          <w:sz w:val="20"/>
        </w:rPr>
      </w:pPr>
      <w:r>
        <w:rPr>
          <w:rFonts w:cs="Arial" w:ascii="Arial" w:hAnsi="Arial"/>
          <w:b/>
          <w:sz w:val="20"/>
        </w:rPr>
        <w:t>Assistant General Counsel, American Petroleum Institute, Washington, DC</w:t>
      </w:r>
    </w:p>
    <w:p>
      <w:pPr>
        <w:pStyle w:val="BodyTextIndent"/>
        <w:ind w:hanging="0" w:start="0" w:end="0"/>
        <w:rPr>
          <w:rFonts w:ascii="Arial" w:hAnsi="Arial" w:cs="Arial"/>
          <w:b/>
          <w:sz w:val="20"/>
        </w:rPr>
      </w:pPr>
      <w:r>
        <w:rPr>
          <w:rFonts w:cs="Arial" w:ascii="Arial" w:hAnsi="Arial"/>
          <w:b/>
          <w:sz w:val="20"/>
        </w:rPr>
      </w:r>
    </w:p>
    <w:p>
      <w:pPr>
        <w:pStyle w:val="BodyTextIndent"/>
        <w:ind w:hanging="0" w:start="0" w:end="0"/>
        <w:rPr/>
      </w:pPr>
      <w:r>
        <w:rPr>
          <w:rFonts w:cs="Arial" w:ascii="Arial" w:hAnsi="Arial"/>
        </w:rPr>
        <w:t>11:00-11:15</w:t>
        <w:tab/>
        <w:tab/>
      </w:r>
      <w:r>
        <w:rPr>
          <w:rFonts w:cs="Arial" w:ascii="Arial" w:hAnsi="Arial"/>
          <w:b/>
        </w:rPr>
        <w:t xml:space="preserve">Break </w:t>
      </w:r>
    </w:p>
    <w:p>
      <w:pPr>
        <w:pStyle w:val="BodyTextIndent"/>
        <w:ind w:hanging="0" w:start="0" w:end="0"/>
        <w:rPr>
          <w:rFonts w:ascii="Arial" w:hAnsi="Arial" w:cs="Arial"/>
          <w:b/>
        </w:rPr>
      </w:pPr>
      <w:r>
        <w:rPr>
          <w:rFonts w:cs="Arial" w:ascii="Arial" w:hAnsi="Arial"/>
          <w:b/>
        </w:rPr>
      </w:r>
    </w:p>
    <w:p>
      <w:pPr>
        <w:pStyle w:val="BodyTextIndent"/>
        <w:keepNext w:val="true"/>
        <w:ind w:hanging="2160" w:start="2160" w:end="0"/>
        <w:rPr/>
      </w:pPr>
      <w:r>
        <w:rPr>
          <w:rFonts w:cs="Arial" w:ascii="Arial" w:hAnsi="Arial"/>
        </w:rPr>
        <w:t>11:20-12:10</w:t>
        <w:tab/>
        <w:tab/>
      </w:r>
      <w:r>
        <w:rPr>
          <w:rFonts w:cs="Arial" w:ascii="Arial" w:hAnsi="Arial"/>
          <w:b/>
        </w:rPr>
        <w:t>Royalty Valuation of affiliate sales and joint ventures, cost allowances for marketing, and the duty to market.</w:t>
      </w:r>
    </w:p>
    <w:p>
      <w:pPr>
        <w:pStyle w:val="BodyTextIndent"/>
        <w:keepNext w:val="true"/>
        <w:ind w:hanging="1440" w:start="1440" w:end="0"/>
        <w:rPr>
          <w:rFonts w:ascii="Arial" w:hAnsi="Arial" w:cs="Arial"/>
          <w:b/>
        </w:rPr>
      </w:pPr>
      <w:r>
        <w:rPr>
          <w:rFonts w:cs="Arial" w:ascii="Arial" w:hAnsi="Arial"/>
          <w:b/>
        </w:rPr>
      </w:r>
    </w:p>
    <w:p>
      <w:pPr>
        <w:pStyle w:val="BodyTextIndent"/>
        <w:keepNext w:val="true"/>
        <w:ind w:hanging="0" w:start="2160" w:end="0"/>
        <w:rPr>
          <w:rFonts w:ascii="Arial" w:hAnsi="Arial" w:cs="Arial"/>
          <w:i/>
          <w:i/>
        </w:rPr>
      </w:pPr>
      <w:r>
        <w:rPr>
          <w:rFonts w:cs="Arial" w:ascii="Arial" w:hAnsi="Arial"/>
          <w:i/>
        </w:rPr>
        <w:t xml:space="preserve">Industry and the MMS fundamentally disagree regarding (i) the appropriate method to value sales of gas and oil to affiliates, (ii) whether cost allowances can be granted for the cost of marketing oil and gas, and (iii) the validity and scope of the lessee’s duty “to market for the mutual benefit of the lessor and the lessee, at no cost to the lessor”.  Leading advocates for Industry and the MMS will present their contrasting perspectives on these controversial issues.      </w:t>
      </w:r>
    </w:p>
    <w:p>
      <w:pPr>
        <w:pStyle w:val="BodyTextIndent"/>
        <w:ind w:hanging="0" w:start="0" w:end="0"/>
        <w:rPr>
          <w:rFonts w:ascii="Arial" w:hAnsi="Arial" w:cs="Arial"/>
          <w:i/>
          <w:i/>
        </w:rPr>
      </w:pPr>
      <w:r>
        <w:rPr>
          <w:rFonts w:cs="Arial" w:ascii="Arial" w:hAnsi="Arial"/>
          <w:i/>
        </w:rPr>
      </w:r>
    </w:p>
    <w:p>
      <w:pPr>
        <w:pStyle w:val="BodyTextIndent"/>
        <w:ind w:firstLine="720" w:start="1440" w:end="0"/>
        <w:rPr>
          <w:rFonts w:ascii="Arial" w:hAnsi="Arial" w:cs="Arial"/>
          <w:b/>
          <w:i/>
          <w:i/>
        </w:rPr>
      </w:pPr>
      <w:r>
        <w:rPr>
          <w:rFonts w:cs="Arial" w:ascii="Arial" w:hAnsi="Arial"/>
          <w:b/>
          <w:i/>
        </w:rPr>
        <w:t xml:space="preserve">Industry Perspective </w:t>
      </w:r>
    </w:p>
    <w:p>
      <w:pPr>
        <w:pStyle w:val="BodyTextIndent"/>
        <w:ind w:hanging="0" w:start="0" w:end="0"/>
        <w:rPr>
          <w:rFonts w:ascii="Arial" w:hAnsi="Arial" w:cs="Arial"/>
          <w:b/>
          <w:i/>
          <w:i/>
        </w:rPr>
      </w:pPr>
      <w:r>
        <w:rPr>
          <w:rFonts w:cs="Arial" w:ascii="Arial" w:hAnsi="Arial"/>
          <w:b/>
          <w:i/>
        </w:rPr>
      </w:r>
    </w:p>
    <w:p>
      <w:pPr>
        <w:pStyle w:val="BodyTextIndent"/>
        <w:ind w:firstLine="720" w:start="1440" w:end="0"/>
        <w:rPr>
          <w:rFonts w:ascii="Arial" w:hAnsi="Arial" w:cs="Arial"/>
          <w:b/>
          <w:sz w:val="20"/>
        </w:rPr>
      </w:pPr>
      <w:r>
        <w:rPr>
          <w:rFonts w:cs="Arial" w:ascii="Arial" w:hAnsi="Arial"/>
          <w:b/>
          <w:sz w:val="20"/>
        </w:rPr>
        <w:t>L. Poe Leggette</w:t>
      </w:r>
    </w:p>
    <w:p>
      <w:pPr>
        <w:pStyle w:val="BodyTextIndent"/>
        <w:ind w:firstLine="720" w:start="1440" w:end="0"/>
        <w:rPr>
          <w:rFonts w:ascii="Arial" w:hAnsi="Arial" w:cs="Arial"/>
          <w:b/>
          <w:sz w:val="20"/>
        </w:rPr>
      </w:pPr>
      <w:r>
        <w:rPr>
          <w:rFonts w:cs="Arial" w:ascii="Arial" w:hAnsi="Arial"/>
          <w:b/>
          <w:sz w:val="20"/>
        </w:rPr>
        <w:t>Fulbright &amp; Jaworski LLP, Washington D.C.</w:t>
      </w:r>
    </w:p>
    <w:p>
      <w:pPr>
        <w:pStyle w:val="BodyTextIndent"/>
        <w:ind w:hanging="0" w:start="0" w:end="0"/>
        <w:rPr>
          <w:rFonts w:ascii="Arial" w:hAnsi="Arial" w:cs="Arial"/>
          <w:b/>
          <w:sz w:val="20"/>
        </w:rPr>
      </w:pPr>
      <w:r>
        <w:rPr>
          <w:rFonts w:cs="Arial" w:ascii="Arial" w:hAnsi="Arial"/>
          <w:b/>
          <w:sz w:val="20"/>
        </w:rPr>
      </w:r>
    </w:p>
    <w:p>
      <w:pPr>
        <w:pStyle w:val="BodyTextIndent"/>
        <w:ind w:firstLine="720" w:start="1440" w:end="0"/>
        <w:rPr>
          <w:rFonts w:ascii="Arial" w:hAnsi="Arial" w:cs="Arial"/>
          <w:b/>
          <w:i/>
          <w:i/>
        </w:rPr>
      </w:pPr>
      <w:r>
        <w:rPr>
          <w:rFonts w:cs="Arial" w:ascii="Arial" w:hAnsi="Arial"/>
          <w:b/>
          <w:i/>
        </w:rPr>
        <w:t xml:space="preserve">MMS Perspective </w:t>
      </w:r>
    </w:p>
    <w:p>
      <w:pPr>
        <w:pStyle w:val="BodyTextIndent"/>
        <w:ind w:hanging="0" w:start="0" w:end="0"/>
        <w:rPr>
          <w:rFonts w:ascii="Arial" w:hAnsi="Arial" w:cs="Arial"/>
          <w:b/>
          <w:i/>
          <w:i/>
        </w:rPr>
      </w:pPr>
      <w:r>
        <w:rPr>
          <w:rFonts w:cs="Arial" w:ascii="Arial" w:hAnsi="Arial"/>
          <w:b/>
          <w:i/>
        </w:rPr>
      </w:r>
    </w:p>
    <w:p>
      <w:pPr>
        <w:pStyle w:val="BodyTextIndent"/>
        <w:ind w:hanging="0" w:start="2160" w:end="0"/>
        <w:rPr>
          <w:rFonts w:ascii="Arial" w:hAnsi="Arial" w:cs="Arial"/>
          <w:b/>
          <w:sz w:val="20"/>
        </w:rPr>
      </w:pPr>
      <w:r>
        <w:rPr>
          <w:rFonts w:cs="Arial" w:ascii="Arial" w:hAnsi="Arial"/>
          <w:b/>
          <w:sz w:val="20"/>
        </w:rPr>
        <w:t>Geoffrey Heath, Assistant Solicitor for Royalty and Offshore Minerals, Office of the Solicitor, Department of the Interior, Washington, D.C.</w:t>
      </w:r>
    </w:p>
    <w:p>
      <w:pPr>
        <w:pStyle w:val="BodyTextIndent"/>
        <w:ind w:hanging="0" w:start="1440" w:end="0"/>
        <w:rPr>
          <w:rFonts w:ascii="Arial" w:hAnsi="Arial" w:cs="Arial"/>
          <w:b/>
          <w:sz w:val="20"/>
        </w:rPr>
      </w:pPr>
      <w:r>
        <w:rPr>
          <w:rFonts w:cs="Arial" w:ascii="Arial" w:hAnsi="Arial"/>
          <w:b/>
          <w:sz w:val="20"/>
        </w:rPr>
      </w:r>
    </w:p>
    <w:p>
      <w:pPr>
        <w:pStyle w:val="BodyTextIndent"/>
        <w:ind w:firstLine="720" w:start="1440" w:end="0"/>
        <w:rPr>
          <w:rFonts w:ascii="Arial" w:hAnsi="Arial" w:cs="Arial"/>
          <w:b/>
          <w:i/>
          <w:i/>
        </w:rPr>
      </w:pPr>
      <w:r>
        <w:rPr>
          <w:rFonts w:cs="Arial" w:ascii="Arial" w:hAnsi="Arial"/>
          <w:b/>
          <w:i/>
        </w:rPr>
        <w:t>Moderator</w:t>
      </w:r>
    </w:p>
    <w:p>
      <w:pPr>
        <w:pStyle w:val="BodyTextIndent"/>
        <w:ind w:hanging="0" w:start="1440" w:end="0"/>
        <w:rPr>
          <w:rFonts w:ascii="Arial" w:hAnsi="Arial" w:cs="Arial"/>
          <w:b/>
          <w:i/>
          <w:i/>
        </w:rPr>
      </w:pPr>
      <w:r>
        <w:rPr>
          <w:rFonts w:cs="Arial" w:ascii="Arial" w:hAnsi="Arial"/>
          <w:b/>
          <w:i/>
        </w:rPr>
      </w:r>
    </w:p>
    <w:p>
      <w:pPr>
        <w:pStyle w:val="BodyTextIndent"/>
        <w:ind w:firstLine="720" w:start="1440" w:end="0"/>
        <w:rPr>
          <w:rFonts w:ascii="Arial" w:hAnsi="Arial" w:cs="Arial"/>
          <w:b/>
          <w:sz w:val="20"/>
        </w:rPr>
      </w:pPr>
      <w:r>
        <w:rPr>
          <w:rFonts w:cs="Arial" w:ascii="Arial" w:hAnsi="Arial"/>
          <w:b/>
          <w:sz w:val="20"/>
        </w:rPr>
        <w:t>Timothy J. Jacquet</w:t>
      </w:r>
    </w:p>
    <w:p>
      <w:pPr>
        <w:pStyle w:val="BodyTextIndent"/>
        <w:ind w:firstLine="720" w:start="1440" w:end="0"/>
        <w:rPr>
          <w:rFonts w:ascii="Arial" w:hAnsi="Arial" w:cs="Arial"/>
          <w:b/>
          <w:sz w:val="20"/>
        </w:rPr>
      </w:pPr>
      <w:r>
        <w:rPr>
          <w:rFonts w:cs="Arial" w:ascii="Arial" w:hAnsi="Arial"/>
          <w:b/>
          <w:sz w:val="20"/>
        </w:rPr>
        <w:t xml:space="preserve">Managing Counsel, Dominion Exploration &amp; Production, Inc.,  </w:t>
      </w:r>
    </w:p>
    <w:p>
      <w:pPr>
        <w:pStyle w:val="BodyTextIndent"/>
        <w:ind w:firstLine="720" w:start="1440" w:end="0"/>
        <w:rPr>
          <w:rFonts w:ascii="Arial" w:hAnsi="Arial" w:cs="Arial"/>
          <w:b/>
          <w:sz w:val="20"/>
        </w:rPr>
      </w:pPr>
      <w:r>
        <w:rPr>
          <w:rFonts w:cs="Arial" w:ascii="Arial" w:hAnsi="Arial"/>
          <w:b/>
          <w:sz w:val="20"/>
        </w:rPr>
        <w:t>New Orleans, Louisiana</w:t>
      </w:r>
    </w:p>
    <w:p>
      <w:pPr>
        <w:pStyle w:val="BodyTextIndent"/>
        <w:ind w:hanging="0" w:start="0" w:end="0"/>
        <w:rPr>
          <w:rFonts w:ascii="Arial" w:hAnsi="Arial" w:cs="Arial"/>
          <w:b/>
          <w:sz w:val="20"/>
        </w:rPr>
      </w:pPr>
      <w:r>
        <w:rPr>
          <w:rFonts w:cs="Arial" w:ascii="Arial" w:hAnsi="Arial"/>
          <w:b/>
          <w:sz w:val="20"/>
        </w:rPr>
      </w:r>
    </w:p>
    <w:p>
      <w:pPr>
        <w:pStyle w:val="BodyTextIndent"/>
        <w:ind w:hanging="2160" w:start="2160" w:end="0"/>
        <w:rPr/>
      </w:pPr>
      <w:r>
        <w:rPr>
          <w:rFonts w:cs="Arial" w:ascii="Arial" w:hAnsi="Arial"/>
        </w:rPr>
        <w:t>12:15-1:00</w:t>
        <w:tab/>
        <w:tab/>
      </w:r>
      <w:r>
        <w:rPr>
          <w:rFonts w:cs="Arial" w:ascii="Arial" w:hAnsi="Arial"/>
          <w:b/>
        </w:rPr>
        <w:t xml:space="preserve">Closing Remarks and First Biennial Meeting of the South-Central Chapter of the Energy Bar Association  </w:t>
      </w:r>
    </w:p>
    <w:p>
      <w:pPr>
        <w:pStyle w:val="BodyTextIndent"/>
        <w:ind w:hanging="2160" w:start="2160" w:end="0"/>
        <w:rPr>
          <w:rFonts w:ascii="Arial" w:hAnsi="Arial" w:cs="Arial"/>
          <w:b/>
        </w:rPr>
      </w:pPr>
      <w:r>
        <w:rPr>
          <w:rFonts w:cs="Arial" w:ascii="Arial" w:hAnsi="Arial"/>
          <w:b/>
        </w:rPr>
      </w:r>
    </w:p>
    <w:p>
      <w:pPr>
        <w:sectPr>
          <w:type w:val="nextPage"/>
          <w:pgSz w:w="12240" w:h="15840"/>
          <w:pgMar w:left="1440" w:right="1440" w:gutter="0" w:header="0" w:top="1152" w:footer="0" w:bottom="1008"/>
          <w:pgNumType w:fmt="decimal"/>
          <w:formProt w:val="false"/>
          <w:textDirection w:val="lrTb"/>
          <w:docGrid w:type="default" w:linePitch="360" w:charSpace="0"/>
        </w:sectPr>
        <w:pStyle w:val="BodyTextIndent"/>
        <w:ind w:hanging="0" w:start="2160" w:end="0"/>
        <w:jc w:val="both"/>
        <w:rPr/>
      </w:pPr>
      <w:r>
        <w:rPr>
          <w:rFonts w:cs="Arial" w:ascii="Arial" w:hAnsi="Arial"/>
          <w:b/>
          <w:sz w:val="20"/>
        </w:rPr>
        <w:t>F. Neelis Roberts, Partner, Schully, Roberts, Jaubert &amp; Marino, New Orleans, Louisiana, Secretary, South-Central Chapter, Energy Bar Association</w:t>
      </w:r>
    </w:p>
    <w:p>
      <w:pPr>
        <w:pStyle w:val="Heading"/>
        <w:spacing w:lineRule="atLeast" w:line="160"/>
        <w:rPr>
          <w:rFonts w:ascii="Times New Roman" w:hAnsi="Times New Roman" w:cs="Times New Roman"/>
          <w:sz w:val="20"/>
        </w:rPr>
      </w:pPr>
      <w:r>
        <w:rPr>
          <w:rFonts w:cs="Times New Roman" w:ascii="Times New Roman" w:hAnsi="Times New Roman"/>
          <w:sz w:val="20"/>
        </w:rPr>
        <w:t>REGISTRATION FORM</w:t>
      </w:r>
    </w:p>
    <w:p>
      <w:pPr>
        <w:pStyle w:val="Normal"/>
        <w:spacing w:lineRule="atLeast" w:line="160"/>
        <w:rPr>
          <w:rFonts w:ascii="Times New Roman" w:hAnsi="Times New Roman" w:cs="Times New Roman"/>
          <w:sz w:val="20"/>
        </w:rPr>
      </w:pPr>
      <w:r>
        <w:rPr>
          <w:rFonts w:cs="Times New Roman" w:ascii="Times New Roman" w:hAnsi="Times New Roman"/>
          <w:sz w:val="20"/>
        </w:rPr>
      </w:r>
    </w:p>
    <w:p>
      <w:pPr>
        <w:pStyle w:val="Subtitle"/>
        <w:spacing w:lineRule="atLeast" w:line="160"/>
        <w:rPr>
          <w:rFonts w:ascii="Times New Roman" w:hAnsi="Times New Roman" w:cs="Times New Roman"/>
          <w:sz w:val="20"/>
        </w:rPr>
      </w:pPr>
      <w:r>
        <w:rPr>
          <w:rFonts w:cs="Times New Roman" w:ascii="Times New Roman" w:hAnsi="Times New Roman"/>
          <w:sz w:val="20"/>
        </w:rPr>
        <w:t>ONE FORM PER REGISTRANT</w:t>
      </w:r>
    </w:p>
    <w:p>
      <w:pPr>
        <w:pStyle w:val="Subtitle"/>
        <w:spacing w:lineRule="atLeast" w:line="160"/>
        <w:rPr>
          <w:rFonts w:ascii="Times New Roman" w:hAnsi="Times New Roman" w:cs="Times New Roman"/>
          <w:sz w:val="20"/>
        </w:rPr>
      </w:pPr>
      <w:r>
        <w:rPr>
          <w:rFonts w:cs="Times New Roman" w:ascii="Times New Roman" w:hAnsi="Times New Roman"/>
          <w:sz w:val="20"/>
        </w:rPr>
      </w:r>
    </w:p>
    <w:p>
      <w:pPr>
        <w:pStyle w:val="BodyTextIndent"/>
        <w:spacing w:lineRule="atLeast" w:line="160"/>
        <w:rPr/>
      </w:pPr>
      <w:r>
        <w:rPr>
          <w:sz w:val="20"/>
        </w:rPr>
        <w:t>□</w:t>
      </w:r>
      <w:r>
        <w:rPr>
          <w:sz w:val="20"/>
        </w:rPr>
        <w:tab/>
        <w:t xml:space="preserve">Please register the following person for the </w:t>
      </w:r>
      <w:r>
        <w:rPr>
          <w:i/>
          <w:sz w:val="20"/>
        </w:rPr>
        <w:t>Royalty Controversies in the Gulf of Mexico</w:t>
      </w:r>
      <w:r>
        <w:rPr>
          <w:sz w:val="20"/>
        </w:rPr>
        <w:t xml:space="preserve">, </w:t>
      </w:r>
    </w:p>
    <w:p>
      <w:pPr>
        <w:pStyle w:val="BodyTextIndent"/>
        <w:spacing w:lineRule="atLeast" w:line="160"/>
        <w:ind w:hanging="0" w:end="0"/>
        <w:rPr>
          <w:sz w:val="20"/>
        </w:rPr>
      </w:pPr>
      <w:r>
        <w:rPr>
          <w:sz w:val="20"/>
        </w:rPr>
        <w:t>December 8, 2000</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ind w:hanging="720" w:start="720" w:end="0"/>
        <w:jc w:val="both"/>
        <w:rPr>
          <w:rFonts w:ascii="Times New Roman" w:hAnsi="Times New Roman" w:cs="Times New Roman"/>
          <w:sz w:val="20"/>
          <w:u w:val="single"/>
        </w:rPr>
      </w:pPr>
      <w:r>
        <w:rPr>
          <w:rFonts w:cs="Times New Roman" w:ascii="Times New Roman" w:hAnsi="Times New Roman"/>
          <w:sz w:val="20"/>
          <w:u w:val="single"/>
        </w:rPr>
        <w:tab/>
        <w:tab/>
        <w:tab/>
        <w:tab/>
        <w:tab/>
        <w:tab/>
        <w:tab/>
        <w:tab/>
        <w:tab/>
        <w:tab/>
        <w:tab/>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LAST NAME</w:t>
        <w:tab/>
        <w:tab/>
        <w:tab/>
        <w:t>FIRST NAME</w:t>
        <w:tab/>
        <w:tab/>
        <w:tab/>
        <w:tab/>
        <w:tab/>
        <w:t>(M.I.)</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ind w:hanging="720" w:start="720" w:end="0"/>
        <w:jc w:val="both"/>
        <w:rPr>
          <w:rFonts w:ascii="Times New Roman" w:hAnsi="Times New Roman" w:cs="Times New Roman"/>
          <w:sz w:val="20"/>
          <w:u w:val="single"/>
        </w:rPr>
      </w:pPr>
      <w:r>
        <w:rPr>
          <w:rFonts w:cs="Times New Roman" w:ascii="Times New Roman" w:hAnsi="Times New Roman"/>
          <w:sz w:val="20"/>
          <w:u w:val="single"/>
        </w:rPr>
        <w:tab/>
        <w:tab/>
        <w:tab/>
        <w:tab/>
        <w:tab/>
        <w:tab/>
        <w:tab/>
        <w:tab/>
        <w:tab/>
        <w:tab/>
        <w:tab/>
      </w:r>
    </w:p>
    <w:p>
      <w:pPr>
        <w:pStyle w:val="Normal"/>
        <w:spacing w:lineRule="atLeast" w:line="160"/>
        <w:ind w:hanging="720" w:start="720" w:end="0"/>
        <w:jc w:val="center"/>
        <w:rPr>
          <w:rFonts w:ascii="Times New Roman" w:hAnsi="Times New Roman" w:cs="Times New Roman"/>
          <w:sz w:val="20"/>
        </w:rPr>
      </w:pPr>
      <w:r>
        <w:rPr>
          <w:rFonts w:cs="Times New Roman" w:ascii="Times New Roman" w:hAnsi="Times New Roman"/>
          <w:sz w:val="20"/>
        </w:rPr>
        <w:t>FIRM/COMPANY/AGENCY</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ind w:hanging="720" w:start="720" w:end="0"/>
        <w:jc w:val="both"/>
        <w:rPr>
          <w:rFonts w:ascii="Times New Roman" w:hAnsi="Times New Roman" w:cs="Times New Roman"/>
          <w:sz w:val="20"/>
          <w:u w:val="single"/>
        </w:rPr>
      </w:pPr>
      <w:r>
        <w:rPr>
          <w:rFonts w:cs="Times New Roman" w:ascii="Times New Roman" w:hAnsi="Times New Roman"/>
          <w:sz w:val="20"/>
          <w:u w:val="single"/>
        </w:rPr>
        <w:tab/>
        <w:tab/>
        <w:tab/>
        <w:tab/>
        <w:tab/>
        <w:tab/>
        <w:tab/>
        <w:tab/>
        <w:tab/>
        <w:tab/>
        <w:tab/>
      </w:r>
    </w:p>
    <w:p>
      <w:pPr>
        <w:pStyle w:val="Normal"/>
        <w:spacing w:lineRule="atLeast" w:line="160"/>
        <w:ind w:hanging="720" w:start="720" w:end="0"/>
        <w:rPr>
          <w:rFonts w:ascii="Times New Roman" w:hAnsi="Times New Roman" w:cs="Times New Roman"/>
          <w:sz w:val="20"/>
        </w:rPr>
      </w:pPr>
      <w:r>
        <w:rPr>
          <w:rFonts w:cs="Times New Roman" w:ascii="Times New Roman" w:hAnsi="Times New Roman"/>
          <w:sz w:val="20"/>
        </w:rPr>
        <w:t>ADDRESS</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ind w:hanging="720" w:start="720" w:end="0"/>
        <w:jc w:val="both"/>
        <w:rPr/>
      </w:pPr>
      <w:r>
        <w:rPr>
          <w:rFonts w:cs="Times New Roman" w:ascii="Times New Roman" w:hAnsi="Times New Roman"/>
          <w:sz w:val="20"/>
          <w:u w:val="single"/>
        </w:rPr>
        <w:tab/>
        <w:tab/>
        <w:tab/>
        <w:tab/>
        <w:tab/>
        <w:tab/>
        <w:tab/>
        <w:tab/>
        <w:tab/>
        <w:tab/>
        <w:tab/>
      </w:r>
      <w:r>
        <w:rPr>
          <w:rFonts w:cs="Times New Roman" w:ascii="Times New Roman" w:hAnsi="Times New Roman"/>
          <w:sz w:val="20"/>
        </w:rPr>
        <w:tab/>
      </w:r>
    </w:p>
    <w:p>
      <w:pPr>
        <w:pStyle w:val="Normal"/>
        <w:spacing w:lineRule="atLeast" w:line="160"/>
        <w:ind w:hanging="720" w:start="720" w:end="0"/>
        <w:rPr>
          <w:rFonts w:ascii="Times New Roman" w:hAnsi="Times New Roman" w:cs="Times New Roman"/>
          <w:sz w:val="20"/>
        </w:rPr>
      </w:pPr>
      <w:r>
        <w:rPr>
          <w:rFonts w:cs="Times New Roman" w:ascii="Times New Roman" w:hAnsi="Times New Roman"/>
          <w:sz w:val="20"/>
        </w:rPr>
        <w:t>CITY</w:t>
        <w:tab/>
        <w:tab/>
        <w:tab/>
        <w:tab/>
        <w:tab/>
        <w:t>STATE</w:t>
        <w:tab/>
        <w:tab/>
        <w:tab/>
        <w:tab/>
        <w:t>ZIP</w:t>
      </w:r>
    </w:p>
    <w:p>
      <w:pPr>
        <w:pStyle w:val="Normal"/>
        <w:spacing w:lineRule="atLeast" w:line="160"/>
        <w:ind w:hanging="720" w:start="720" w:end="0"/>
        <w:jc w:val="both"/>
        <w:rPr>
          <w:rFonts w:ascii="Times New Roman" w:hAnsi="Times New Roman" w:cs="Times New Roman"/>
          <w:sz w:val="20"/>
          <w:u w:val="single"/>
        </w:rPr>
      </w:pPr>
      <w:r>
        <w:rPr>
          <w:rFonts w:cs="Times New Roman" w:ascii="Times New Roman" w:hAnsi="Times New Roman"/>
          <w:sz w:val="20"/>
          <w:u w:val="single"/>
        </w:rPr>
      </w:r>
    </w:p>
    <w:p>
      <w:pPr>
        <w:pStyle w:val="Normal"/>
        <w:spacing w:lineRule="atLeast" w:line="160"/>
        <w:ind w:hanging="720" w:start="720" w:end="0"/>
        <w:rPr>
          <w:rFonts w:ascii="Times New Roman" w:hAnsi="Times New Roman" w:cs="Times New Roman"/>
          <w:sz w:val="20"/>
          <w:u w:val="single"/>
        </w:rPr>
      </w:pPr>
      <w:r>
        <w:rPr>
          <w:rFonts w:cs="Times New Roman" w:ascii="Times New Roman" w:hAnsi="Times New Roman"/>
          <w:sz w:val="20"/>
          <w:u w:val="single"/>
        </w:rPr>
        <w:t>(</w:t>
        <w:tab/>
        <w:t>)</w:t>
        <w:tab/>
        <w:tab/>
        <w:tab/>
        <w:tab/>
        <w:t>(</w:t>
        <w:tab/>
        <w:t>)</w:t>
        <w:tab/>
        <w:tab/>
        <w:tab/>
        <w:tab/>
        <w:tab/>
      </w:r>
    </w:p>
    <w:p>
      <w:pPr>
        <w:pStyle w:val="Normal"/>
        <w:spacing w:lineRule="atLeast" w:line="160"/>
        <w:ind w:hanging="720" w:start="720" w:end="0"/>
        <w:rPr>
          <w:rFonts w:ascii="Times New Roman" w:hAnsi="Times New Roman" w:cs="Times New Roman"/>
          <w:sz w:val="20"/>
        </w:rPr>
      </w:pPr>
      <w:r>
        <w:rPr>
          <w:rFonts w:cs="Times New Roman" w:ascii="Times New Roman" w:hAnsi="Times New Roman"/>
          <w:sz w:val="20"/>
        </w:rPr>
        <w:t>PHONE</w:t>
        <w:tab/>
        <w:tab/>
        <w:tab/>
        <w:tab/>
        <w:tab/>
        <w:t>FAX</w:t>
      </w:r>
    </w:p>
    <w:p>
      <w:pPr>
        <w:pStyle w:val="Normal"/>
        <w:spacing w:lineRule="atLeast" w:line="160"/>
        <w:ind w:hanging="720" w:start="720" w:end="0"/>
        <w:rPr>
          <w:rFonts w:ascii="Times New Roman" w:hAnsi="Times New Roman" w:cs="Times New Roman"/>
          <w:sz w:val="20"/>
        </w:rPr>
      </w:pPr>
      <w:r>
        <w:rPr>
          <w:rFonts w:cs="Times New Roman" w:ascii="Times New Roman" w:hAnsi="Times New Roman"/>
          <w:sz w:val="20"/>
        </w:rPr>
      </w:r>
    </w:p>
    <w:p>
      <w:pPr>
        <w:pStyle w:val="Heading1"/>
        <w:spacing w:lineRule="atLeast" w:line="160"/>
        <w:ind w:hanging="0" w:end="0"/>
        <w:rPr>
          <w:rFonts w:ascii="Times New Roman" w:hAnsi="Times New Roman" w:cs="Times New Roman"/>
        </w:rPr>
      </w:pPr>
      <w:r>
        <w:rPr>
          <w:rFonts w:cs="Times New Roman" w:ascii="Times New Roman" w:hAnsi="Times New Roman"/>
        </w:rPr>
        <w:t>Registration Fees</w:t>
      </w:r>
    </w:p>
    <w:p>
      <w:pPr>
        <w:pStyle w:val="Normal"/>
        <w:rPr>
          <w:rFonts w:ascii="Times New Roman" w:hAnsi="Times New Roman" w:cs="Times New Roman"/>
        </w:rPr>
      </w:pPr>
      <w:r>
        <w:rPr>
          <w:rFonts w:cs="Times New Roman" w:ascii="Times New Roman" w:hAnsi="Times New Roman"/>
        </w:rPr>
      </w:r>
    </w:p>
    <w:p>
      <w:pPr>
        <w:pStyle w:val="Normal"/>
        <w:spacing w:lineRule="atLeast" w:line="160"/>
        <w:ind w:hanging="720" w:start="720" w:end="0"/>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ab/>
        <w:t>$50 EBA Members</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ab/>
        <w:t>$55 Non-Members</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ab/>
        <w:t>$25 Government/Academic/Student</w:t>
      </w:r>
    </w:p>
    <w:p>
      <w:pPr>
        <w:pStyle w:val="Normal"/>
        <w:spacing w:lineRule="atLeast" w:line="160"/>
        <w:ind w:hanging="720" w:start="720" w:end="0"/>
        <w:jc w:val="both"/>
        <w:rPr>
          <w:rFonts w:ascii="Times New Roman" w:hAnsi="Times New Roman" w:cs="Times New Roman"/>
          <w:b/>
          <w:sz w:val="20"/>
        </w:rPr>
      </w:pPr>
      <w:r>
        <w:rPr>
          <w:rFonts w:cs="Times New Roman" w:ascii="Times New Roman" w:hAnsi="Times New Roman"/>
          <w:b/>
          <w:sz w:val="20"/>
        </w:rPr>
      </w:r>
    </w:p>
    <w:p>
      <w:pPr>
        <w:pStyle w:val="Normal"/>
        <w:spacing w:lineRule="atLeast" w:line="160"/>
        <w:ind w:hanging="720" w:start="720" w:end="0"/>
        <w:jc w:val="both"/>
        <w:rPr/>
      </w:pPr>
      <w:r>
        <w:rPr>
          <w:rFonts w:cs="Times New Roman" w:ascii="Times New Roman" w:hAnsi="Times New Roman"/>
          <w:b/>
          <w:sz w:val="20"/>
        </w:rPr>
        <w:t>Payment</w:t>
      </w:r>
      <w:r>
        <w:rPr>
          <w:rFonts w:cs="Times New Roman" w:ascii="Times New Roman" w:hAnsi="Times New Roman"/>
          <w:sz w:val="20"/>
        </w:rPr>
        <w:tab/>
        <w:tab/>
        <w:t>(TAX ID#52-6054231)</w:t>
        <w:tab/>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ind w:hanging="720" w:start="720" w:end="0"/>
        <w:jc w:val="both"/>
        <w:rPr/>
      </w:pPr>
      <w:r>
        <w:rPr>
          <w:rFonts w:cs="Times New Roman" w:ascii="Times New Roman" w:hAnsi="Times New Roman"/>
          <w:sz w:val="20"/>
        </w:rPr>
        <w:t>□</w:t>
      </w:r>
      <w:r>
        <w:rPr>
          <w:rFonts w:cs="Times New Roman" w:ascii="Times New Roman" w:hAnsi="Times New Roman"/>
          <w:sz w:val="20"/>
        </w:rPr>
        <w:tab/>
        <w:t>Check enclosed (payable to the Energy Bar Association, South-Central Chapter)</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ab/>
        <w:t>Government Purchase Order enclosed</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P.O.#  _________________________________</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Heading2"/>
        <w:spacing w:lineRule="atLeast" w:line="160"/>
        <w:rPr>
          <w:rFonts w:ascii="Times New Roman" w:hAnsi="Times New Roman" w:cs="Times New Roman"/>
        </w:rPr>
      </w:pPr>
      <w:r>
        <w:rPr>
          <w:rFonts w:cs="Times New Roman" w:ascii="Times New Roman" w:hAnsi="Times New Roman"/>
        </w:rPr>
        <w:t>Credit Card</w:t>
      </w:r>
    </w:p>
    <w:p>
      <w:pPr>
        <w:pStyle w:val="Normal"/>
        <w:pBdr>
          <w:top w:val="single" w:sz="4" w:space="1" w:color="000000"/>
          <w:left w:val="single" w:sz="4" w:space="4" w:color="000000"/>
          <w:bottom w:val="single" w:sz="4" w:space="1" w:color="000000"/>
          <w:right w:val="single" w:sz="4" w:space="4" w:color="000000"/>
        </w:pBdr>
        <w:spacing w:lineRule="atLeast" w:line="160"/>
        <w:ind w:hanging="720" w:start="720" w:end="0"/>
        <w:jc w:val="both"/>
        <w:rPr>
          <w:rFonts w:ascii="Times New Roman" w:hAnsi="Times New Roman" w:cs="Times New Roman"/>
          <w:sz w:val="20"/>
        </w:rPr>
      </w:pPr>
      <w:r>
        <w:rPr>
          <w:rFonts w:cs="Times New Roman" w:ascii="Times New Roman" w:hAnsi="Times New Roman"/>
          <w:sz w:val="20"/>
        </w:rPr>
        <w:t>Charge my □ MasterCard   □  Visa</w:t>
      </w:r>
    </w:p>
    <w:p>
      <w:pPr>
        <w:pStyle w:val="Normal"/>
        <w:pBdr>
          <w:top w:val="single" w:sz="4" w:space="1" w:color="000000"/>
          <w:left w:val="single" w:sz="4" w:space="4" w:color="000000"/>
          <w:bottom w:val="single" w:sz="4" w:space="1" w:color="000000"/>
          <w:right w:val="single" w:sz="4" w:space="4" w:color="000000"/>
        </w:pBdr>
        <w:spacing w:lineRule="atLeast" w:line="160"/>
        <w:ind w:hanging="720" w:start="720" w:end="0"/>
        <w:jc w:val="both"/>
        <w:rPr>
          <w:rFonts w:ascii="Times New Roman" w:hAnsi="Times New Roman" w:cs="Times New Roman"/>
          <w:sz w:val="20"/>
        </w:rPr>
      </w:pPr>
      <w:r>
        <w:rPr>
          <w:rFonts w:cs="Times New Roman" w:ascii="Times New Roman" w:hAnsi="Times New Roman"/>
          <w:sz w:val="20"/>
        </w:rPr>
        <w:t>Card #______________________________  Exp. Date ___________</w:t>
      </w:r>
    </w:p>
    <w:p>
      <w:pPr>
        <w:pStyle w:val="Normal"/>
        <w:pBdr>
          <w:top w:val="single" w:sz="4" w:space="1" w:color="000000"/>
          <w:left w:val="single" w:sz="4" w:space="4" w:color="000000"/>
          <w:bottom w:val="single" w:sz="4" w:space="1" w:color="000000"/>
          <w:right w:val="single" w:sz="4" w:space="4" w:color="000000"/>
        </w:pBdr>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pBdr>
          <w:top w:val="single" w:sz="4" w:space="1" w:color="000000"/>
          <w:left w:val="single" w:sz="4" w:space="4" w:color="000000"/>
          <w:bottom w:val="single" w:sz="4" w:space="1" w:color="000000"/>
          <w:right w:val="single" w:sz="4" w:space="4" w:color="000000"/>
        </w:pBdr>
        <w:spacing w:lineRule="atLeast" w:line="160"/>
        <w:ind w:hanging="720" w:start="720" w:end="0"/>
        <w:jc w:val="both"/>
        <w:rPr/>
      </w:pPr>
      <w:r>
        <w:rPr>
          <w:rFonts w:cs="Times New Roman" w:ascii="Times New Roman" w:hAnsi="Times New Roman"/>
          <w:sz w:val="20"/>
        </w:rPr>
        <w:t>Signature 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rPr>
          <w:rFonts w:ascii="Times New Roman" w:hAnsi="Times New Roman" w:cs="Times New Roman"/>
          <w:sz w:val="20"/>
        </w:rPr>
      </w:pPr>
      <w:r>
        <w:rPr>
          <w:rFonts w:cs="Times New Roman" w:ascii="Times New Roman" w:hAnsi="Times New Roman"/>
          <w:sz w:val="20"/>
        </w:rPr>
      </w:r>
    </w:p>
    <w:p>
      <w:pPr>
        <w:pStyle w:val="Normal"/>
        <w:spacing w:lineRule="atLeast" w:line="160"/>
        <w:rPr/>
      </w:pPr>
      <w:r>
        <w:rPr>
          <w:rFonts w:cs="Times New Roman" w:ascii="Times New Roman" w:hAnsi="Times New Roman"/>
          <w:sz w:val="20"/>
        </w:rPr>
        <w:t xml:space="preserve">□  </w:t>
      </w:r>
      <w:r>
        <w:rPr>
          <w:rFonts w:cs="Times New Roman" w:ascii="Times New Roman" w:hAnsi="Times New Roman"/>
          <w:sz w:val="20"/>
        </w:rPr>
        <w:t xml:space="preserve">I plan to apply for </w:t>
      </w:r>
      <w:r>
        <w:rPr>
          <w:rFonts w:cs="Times New Roman" w:ascii="Times New Roman" w:hAnsi="Times New Roman"/>
          <w:b/>
          <w:sz w:val="20"/>
        </w:rPr>
        <w:t>CLE</w:t>
      </w:r>
      <w:r>
        <w:rPr>
          <w:rFonts w:cs="Times New Roman" w:ascii="Times New Roman" w:hAnsi="Times New Roman"/>
          <w:sz w:val="20"/>
        </w:rPr>
        <w:t xml:space="preserve"> </w:t>
      </w:r>
      <w:r>
        <w:rPr>
          <w:rFonts w:cs="Times New Roman" w:ascii="Times New Roman" w:hAnsi="Times New Roman"/>
          <w:b/>
          <w:sz w:val="20"/>
        </w:rPr>
        <w:t>credit</w:t>
      </w:r>
      <w:r>
        <w:rPr>
          <w:rFonts w:cs="Times New Roman" w:ascii="Times New Roman" w:hAnsi="Times New Roman"/>
          <w:sz w:val="20"/>
        </w:rPr>
        <w:t xml:space="preserve"> in the following states:</w:t>
      </w:r>
    </w:p>
    <w:p>
      <w:pPr>
        <w:pStyle w:val="Normal"/>
        <w:spacing w:lineRule="atLeast" w:line="160"/>
        <w:rPr>
          <w:rFonts w:ascii="Times New Roman" w:hAnsi="Times New Roman" w:cs="Times New Roman"/>
          <w:sz w:val="20"/>
        </w:rPr>
      </w:pPr>
      <w:r>
        <w:rPr>
          <w:rFonts w:cs="Times New Roman" w:ascii="Times New Roman" w:hAnsi="Times New Roman"/>
          <w:sz w:val="20"/>
        </w:rPr>
      </w:r>
    </w:p>
    <w:p>
      <w:pPr>
        <w:pStyle w:val="Normal"/>
        <w:spacing w:lineRule="atLeast" w:line="16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State ________________   State ID#  _________________</w:t>
      </w:r>
    </w:p>
    <w:p>
      <w:pPr>
        <w:pStyle w:val="Normal"/>
        <w:spacing w:lineRule="atLeast" w:line="16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State ________________   State ID#  _________________</w:t>
      </w:r>
    </w:p>
    <w:p>
      <w:pPr>
        <w:pStyle w:val="Normal"/>
        <w:spacing w:lineRule="atLeast" w:line="160"/>
        <w:rPr/>
      </w:pPr>
      <w:r>
        <w:rPr>
          <w:rFonts w:cs="Times New Roman" w:ascii="Times New Roman" w:hAnsi="Times New Roman"/>
          <w:sz w:val="20"/>
        </w:rPr>
        <w:t xml:space="preserve">   </w:t>
      </w:r>
      <w:r>
        <w:rPr>
          <w:rFonts w:cs="Times New Roman" w:ascii="Times New Roman" w:hAnsi="Times New Roman"/>
          <w:sz w:val="20"/>
        </w:rPr>
        <w:t>State ________________   State ID#  _________________</w:t>
      </w:r>
    </w:p>
    <w:p>
      <w:pPr>
        <w:pStyle w:val="Normal"/>
        <w:spacing w:lineRule="atLeast" w:line="160"/>
        <w:rPr>
          <w:rFonts w:ascii="Times New Roman" w:hAnsi="Times New Roman" w:cs="Times New Roman"/>
          <w:sz w:val="20"/>
        </w:rPr>
      </w:pPr>
      <w:r>
        <w:rPr>
          <w:rFonts w:cs="Times New Roman" w:ascii="Times New Roman" w:hAnsi="Times New Roman"/>
          <w:sz w:val="20"/>
        </w:rPr>
      </w:r>
    </w:p>
    <w:p>
      <w:pPr>
        <w:pStyle w:val="Normal"/>
        <w:spacing w:lineRule="atLeast" w:line="160"/>
        <w:rPr/>
      </w:pPr>
      <w:r>
        <w:rPr>
          <w:rFonts w:cs="Times New Roman" w:ascii="Times New Roman" w:hAnsi="Times New Roman"/>
          <w:sz w:val="20"/>
        </w:rPr>
        <w:t xml:space="preserve">□    </w:t>
      </w:r>
      <w:r>
        <w:rPr>
          <w:rFonts w:cs="Times New Roman" w:ascii="Times New Roman" w:hAnsi="Times New Roman"/>
          <w:sz w:val="20"/>
        </w:rPr>
        <w:t xml:space="preserve">Please send me more information regarding </w:t>
      </w:r>
      <w:r>
        <w:rPr>
          <w:rFonts w:cs="Times New Roman" w:ascii="Times New Roman" w:hAnsi="Times New Roman"/>
          <w:b/>
          <w:sz w:val="20"/>
        </w:rPr>
        <w:t>membership</w:t>
      </w:r>
      <w:r>
        <w:rPr>
          <w:rFonts w:cs="Times New Roman" w:ascii="Times New Roman" w:hAnsi="Times New Roman"/>
          <w:sz w:val="20"/>
        </w:rPr>
        <w:t xml:space="preserve"> in the Energy Bar  </w:t>
      </w:r>
    </w:p>
    <w:p>
      <w:pPr>
        <w:pStyle w:val="Normal"/>
        <w:spacing w:lineRule="atLeast" w:line="16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Association.</w:t>
      </w:r>
    </w:p>
    <w:p>
      <w:pPr>
        <w:pStyle w:val="Normal"/>
        <w:spacing w:lineRule="atLeast" w:line="160"/>
        <w:rPr>
          <w:rFonts w:ascii="Times New Roman" w:hAnsi="Times New Roman" w:cs="Times New Roman"/>
          <w:sz w:val="20"/>
        </w:rPr>
      </w:pPr>
      <w:r>
        <w:rPr>
          <w:rFonts w:cs="Times New Roman" w:ascii="Times New Roman" w:hAnsi="Times New Roman"/>
          <w:sz w:val="20"/>
        </w:rPr>
      </w:r>
    </w:p>
    <w:p>
      <w:pPr>
        <w:pStyle w:val="Heading4"/>
        <w:spacing w:lineRule="atLeast" w:line="160"/>
        <w:rPr/>
      </w:pPr>
      <w:r>
        <w:rPr/>
        <w:t>EBA USE ONLY</w:t>
      </w:r>
    </w:p>
    <w:p>
      <w:pPr>
        <w:pStyle w:val="Normal"/>
        <w:pBdr>
          <w:top w:val="single" w:sz="4" w:space="1" w:color="000000"/>
          <w:left w:val="single" w:sz="4" w:space="4" w:color="000000"/>
          <w:bottom w:val="single" w:sz="4" w:space="1" w:color="000000"/>
          <w:right w:val="single" w:sz="4" w:space="4" w:color="000000"/>
        </w:pBdr>
        <w:spacing w:lineRule="atLeast" w:line="160"/>
        <w:rPr>
          <w:sz w:val="20"/>
        </w:rPr>
      </w:pPr>
      <w:r>
        <w:rPr>
          <w:sz w:val="20"/>
        </w:rPr>
        <w:t>Check Name  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tLeast" w:line="160"/>
        <w:rPr/>
      </w:pPr>
      <w:r>
        <w:rPr>
          <w:sz w:val="20"/>
        </w:rPr>
        <w:t>Check No.   ____________________  Check Date ______________</w:t>
      </w:r>
    </w:p>
    <w:p>
      <w:pPr>
        <w:pStyle w:val="Normal"/>
        <w:pBdr>
          <w:top w:val="single" w:sz="4" w:space="1" w:color="000000"/>
          <w:left w:val="single" w:sz="4" w:space="4" w:color="000000"/>
          <w:bottom w:val="single" w:sz="4" w:space="1" w:color="000000"/>
          <w:right w:val="single" w:sz="4" w:space="4" w:color="000000"/>
        </w:pBdr>
        <w:spacing w:lineRule="atLeast" w:line="160"/>
        <w:rPr>
          <w:sz w:val="20"/>
        </w:rPr>
      </w:pPr>
      <w:r>
        <w:rPr>
          <w:sz w:val="20"/>
        </w:rPr>
        <w:t>Amount Paid ____________________  Date Billed ____________</w:t>
      </w:r>
    </w:p>
    <w:p>
      <w:pPr>
        <w:pStyle w:val="Normal"/>
        <w:pBdr>
          <w:top w:val="single" w:sz="4" w:space="1" w:color="000000"/>
          <w:left w:val="single" w:sz="4" w:space="4" w:color="000000"/>
          <w:bottom w:val="single" w:sz="4" w:space="1" w:color="000000"/>
          <w:right w:val="single" w:sz="4" w:space="4" w:color="000000"/>
        </w:pBdr>
        <w:spacing w:lineRule="atLeast" w:line="160"/>
        <w:rPr>
          <w:sz w:val="20"/>
        </w:rPr>
      </w:pPr>
      <w:r>
        <w:rPr>
          <w:sz w:val="20"/>
        </w:rPr>
      </w:r>
    </w:p>
    <w:p>
      <w:pPr>
        <w:pStyle w:val="Normal"/>
        <w:spacing w:lineRule="atLeast" w:line="160"/>
        <w:rPr>
          <w:sz w:val="20"/>
        </w:rPr>
      </w:pPr>
      <w:r>
        <w:rPr>
          <w:sz w:val="20"/>
        </w:rPr>
      </w:r>
    </w:p>
    <w:p>
      <w:pPr>
        <w:pStyle w:val="Heading3"/>
        <w:spacing w:lineRule="atLeast" w:line="160"/>
        <w:rPr/>
      </w:pPr>
      <w:r>
        <w:rPr/>
        <w:t xml:space="preserve">MAIL TO </w:t>
      </w:r>
    </w:p>
    <w:p>
      <w:pPr>
        <w:pStyle w:val="Normal"/>
        <w:spacing w:lineRule="atLeast" w:line="160"/>
        <w:jc w:val="center"/>
        <w:rPr>
          <w:rFonts w:ascii="Times New Roman" w:hAnsi="Times New Roman" w:cs="Times New Roman"/>
          <w:sz w:val="20"/>
        </w:rPr>
      </w:pPr>
      <w:r>
        <w:rPr>
          <w:rFonts w:cs="Times New Roman" w:ascii="Times New Roman" w:hAnsi="Times New Roman"/>
          <w:sz w:val="20"/>
        </w:rPr>
        <w:t>George Frazier</w:t>
      </w:r>
    </w:p>
    <w:p>
      <w:pPr>
        <w:pStyle w:val="Normal"/>
        <w:spacing w:lineRule="atLeast" w:line="160"/>
        <w:jc w:val="center"/>
        <w:rPr>
          <w:rFonts w:ascii="Times New Roman" w:hAnsi="Times New Roman" w:cs="Times New Roman"/>
          <w:sz w:val="20"/>
        </w:rPr>
      </w:pPr>
      <w:r>
        <w:rPr>
          <w:rFonts w:cs="Times New Roman" w:ascii="Times New Roman" w:hAnsi="Times New Roman"/>
          <w:sz w:val="20"/>
        </w:rPr>
        <w:t xml:space="preserve">President, South-Central Chapter </w:t>
      </w:r>
    </w:p>
    <w:p>
      <w:pPr>
        <w:pStyle w:val="Normal"/>
        <w:spacing w:lineRule="atLeast" w:line="160"/>
        <w:jc w:val="center"/>
        <w:rPr>
          <w:rFonts w:ascii="Times New Roman" w:hAnsi="Times New Roman" w:cs="Times New Roman"/>
          <w:sz w:val="20"/>
        </w:rPr>
      </w:pPr>
      <w:r>
        <w:rPr>
          <w:rFonts w:cs="Times New Roman" w:ascii="Times New Roman" w:hAnsi="Times New Roman"/>
          <w:sz w:val="20"/>
        </w:rPr>
        <w:t>Lemle &amp; Kelleher, L.L.P.</w:t>
      </w:r>
    </w:p>
    <w:p>
      <w:pPr>
        <w:pStyle w:val="Normal"/>
        <w:spacing w:lineRule="atLeast" w:line="160"/>
        <w:jc w:val="center"/>
        <w:rPr/>
      </w:pPr>
      <w:r>
        <w:rPr>
          <w:rFonts w:cs="Times New Roman" w:ascii="Times New Roman" w:hAnsi="Times New Roman"/>
          <w:sz w:val="20"/>
        </w:rPr>
        <w:t>601 Poydras Street, 21</w:t>
      </w:r>
      <w:r>
        <w:rPr>
          <w:rFonts w:cs="Times New Roman" w:ascii="Times New Roman" w:hAnsi="Times New Roman"/>
          <w:sz w:val="20"/>
          <w:vertAlign w:val="superscript"/>
        </w:rPr>
        <w:t>st</w:t>
      </w:r>
      <w:r>
        <w:rPr>
          <w:rFonts w:cs="Times New Roman" w:ascii="Times New Roman" w:hAnsi="Times New Roman"/>
          <w:sz w:val="20"/>
        </w:rPr>
        <w:t xml:space="preserve"> Floor Pan-American Life Center</w:t>
      </w:r>
    </w:p>
    <w:p>
      <w:pPr>
        <w:pStyle w:val="Normal"/>
        <w:spacing w:lineRule="atLeast" w:line="160"/>
        <w:jc w:val="center"/>
        <w:rPr>
          <w:rFonts w:ascii="Times New Roman" w:hAnsi="Times New Roman" w:cs="Times New Roman"/>
          <w:sz w:val="20"/>
        </w:rPr>
      </w:pPr>
      <w:r>
        <w:rPr>
          <w:rFonts w:cs="Times New Roman" w:ascii="Times New Roman" w:hAnsi="Times New Roman"/>
          <w:sz w:val="20"/>
        </w:rPr>
        <w:t>New Orleans, LA 70130</w:t>
      </w:r>
    </w:p>
    <w:p>
      <w:pPr>
        <w:pStyle w:val="Normal"/>
        <w:spacing w:lineRule="atLeast" w:line="160"/>
        <w:jc w:val="center"/>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(504) 586-1241; FAX (504) 584-9142</w:t>
      </w:r>
      <w:r>
        <w:br w:type="page"/>
      </w:r>
    </w:p>
    <w:p>
      <w:pPr>
        <w:pStyle w:val="Heading"/>
        <w:rPr>
          <w:rFonts w:ascii="Times New Roman" w:hAnsi="Times New Roman" w:cs="Times New Roman"/>
        </w:rPr>
      </w:pPr>
      <w:r>
        <w:rPr>
          <w:rFonts w:cs="Times New Roman" w:ascii="Times New Roman" w:hAnsi="Times New Roman"/>
        </w:rPr>
        <w:t xml:space="preserve">GENERAL INFORMATION </w:t>
      </w:r>
    </w:p>
    <w:p>
      <w:pPr>
        <w:pStyle w:val="Normal"/>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HOW TO REGISTER:</w:t>
      </w:r>
      <w:r>
        <w:rPr>
          <w:rFonts w:cs="Times New Roman" w:ascii="Times New Roman" w:hAnsi="Times New Roman"/>
        </w:rPr>
        <w:t xml:space="preserve">  All registrations must be made in advance by completing the attached form and mailing it with your check payable to the Energy Bar Association, South Central-Chapter, c/o George Frazier, 601 Poydras Street, 21</w:t>
      </w:r>
      <w:r>
        <w:rPr>
          <w:rFonts w:cs="Times New Roman" w:ascii="Times New Roman" w:hAnsi="Times New Roman"/>
          <w:vertAlign w:val="superscript"/>
        </w:rPr>
        <w:t>st</w:t>
      </w:r>
      <w:r>
        <w:rPr>
          <w:rFonts w:cs="Times New Roman" w:ascii="Times New Roman" w:hAnsi="Times New Roman"/>
        </w:rPr>
        <w:t xml:space="preserve"> Floor Pan-American Life Center, New Orleans, LA 70130. Confirmations and materials will </w:t>
      </w:r>
      <w:r>
        <w:rPr>
          <w:rFonts w:cs="Times New Roman" w:ascii="Times New Roman" w:hAnsi="Times New Roman"/>
          <w:b/>
        </w:rPr>
        <w:t>not</w:t>
      </w:r>
      <w:r>
        <w:rPr>
          <w:rFonts w:cs="Times New Roman" w:ascii="Times New Roman" w:hAnsi="Times New Roman"/>
        </w:rPr>
        <w:t xml:space="preserve"> be mailed, but will be available the day of the program.</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Conference registrations only will be accepted when accompanied by a check, money order, government purchase order/training form and may be limited by capacity of available facilities.  </w:t>
      </w:r>
      <w:r>
        <w:rPr>
          <w:rFonts w:cs="Times New Roman" w:ascii="Times New Roman" w:hAnsi="Times New Roman"/>
          <w:b/>
        </w:rPr>
        <w:t>Fax registrations will only be accepted when accompanied by credit card information</w:t>
      </w:r>
      <w:r>
        <w:rPr>
          <w:rFonts w:cs="Times New Roman" w:ascii="Times New Roman" w:hAnsi="Times New Roman"/>
        </w:rPr>
        <w:t>.  No registration can be held without payment.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LOCATION:</w:t>
      </w:r>
      <w:r>
        <w:rPr>
          <w:rFonts w:cs="Times New Roman" w:ascii="Times New Roman" w:hAnsi="Times New Roman"/>
        </w:rPr>
        <w:t xml:space="preserve">  The site of the program is the Pan American Life Center, 601 Poydras Street, New Orleans, LA 70130.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CONTINUING LEGAL EDUCATION:</w:t>
      </w:r>
      <w:r>
        <w:rPr>
          <w:rFonts w:cs="Times New Roman" w:ascii="Times New Roman" w:hAnsi="Times New Roman"/>
        </w:rPr>
        <w:t xml:space="preserve">  MCLE accreditation has been (or will be) requested from states with general MCLE requirements.  Each state has its own rules and regulations defining “CLE”.</w:t>
      </w:r>
    </w:p>
    <w:p>
      <w:pPr>
        <w:pStyle w:val="Normal"/>
        <w:jc w:val="both"/>
        <w:rPr>
          <w:rFonts w:ascii="Times New Roman" w:hAnsi="Times New Roman" w:cs="Times New Roman"/>
        </w:rPr>
      </w:pPr>
      <w:r>
        <w:rPr>
          <w:rFonts w:cs="Times New Roman" w:ascii="Times New Roman" w:hAnsi="Times New Roman"/>
        </w:rPr>
      </w:r>
    </w:p>
    <w:p>
      <w:pPr>
        <w:pStyle w:val="BodyText"/>
        <w:rPr/>
      </w:pPr>
      <w:r>
        <w:rPr/>
        <w:t>TO ASSURE ACCREDITATION, THE NECESSARY CLE INFORMATION MUST APPEAR ON YOUR REGISTRATION FORM.</w:t>
      </w:r>
    </w:p>
    <w:sectPr>
      <w:type w:val="nextPage"/>
      <w:pgSz w:w="12240" w:h="15840"/>
      <w:pgMar w:left="1440" w:right="1440" w:gutter="0" w:header="0" w:top="1008"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keepNext w:val="true"/>
      <w:widowControl/>
      <w:numPr>
        <w:ilvl w:val="0"/>
        <w:numId w:val="1"/>
      </w:numPr>
      <w:ind w:firstLine="1440" w:start="0" w:end="0"/>
      <w:outlineLvl w:val="0"/>
    </w:pPr>
    <w:rPr>
      <w:b/>
      <w:sz w:val="20"/>
    </w:rPr>
  </w:style>
  <w:style w:type="paragraph" w:styleId="Heading2">
    <w:name w:val="heading 2"/>
    <w:basedOn w:val="Normal"/>
    <w:next w:val="Normal"/>
    <w:qFormat/>
    <w:pPr>
      <w:keepNext w:val="true"/>
      <w:widowControl/>
      <w:numPr>
        <w:ilvl w:val="1"/>
        <w:numId w:val="1"/>
      </w:numPr>
      <w:ind w:firstLine="720" w:start="720" w:end="0"/>
      <w:outlineLvl w:val="1"/>
    </w:pPr>
    <w:rPr>
      <w:b/>
      <w:sz w:val="20"/>
    </w:rPr>
  </w:style>
  <w:style w:type="paragraph" w:styleId="Heading3">
    <w:name w:val="heading 3"/>
    <w:basedOn w:val="Normal"/>
    <w:next w:val="Normal"/>
    <w:qFormat/>
    <w:pPr>
      <w:keepNext w:val="true"/>
      <w:widowControl/>
      <w:numPr>
        <w:ilvl w:val="2"/>
        <w:numId w:val="1"/>
      </w:numPr>
      <w:ind w:hanging="0" w:start="1440" w:end="0"/>
      <w:outlineLvl w:val="2"/>
    </w:pPr>
    <w:rPr>
      <w:b/>
      <w:sz w:val="20"/>
    </w:rPr>
  </w:style>
  <w:style w:type="paragraph" w:styleId="Heading4">
    <w:name w:val="heading 4"/>
    <w:basedOn w:val="Normal"/>
    <w:next w:val="Normal"/>
    <w:qFormat/>
    <w:pPr>
      <w:keepNext w:val="true"/>
      <w:widowControl/>
      <w:numPr>
        <w:ilvl w:val="3"/>
        <w:numId w:val="1"/>
      </w:numPr>
      <w:tabs>
        <w:tab w:val="clear" w:pos="720"/>
        <w:tab w:val="left" w:pos="-1440" w:leader="none"/>
      </w:tabs>
      <w:ind w:hanging="2160" w:start="3600" w:end="0"/>
      <w:outlineLvl w:val="3"/>
    </w:pPr>
    <w:rPr>
      <w:b/>
      <w:sz w:val="20"/>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widowControl/>
      <w:jc w:val="center"/>
    </w:pPr>
    <w:rPr>
      <w:rFonts w:ascii="Courier New" w:hAnsi="Courier New" w:cs="Courier New"/>
      <w:b/>
      <w:u w:val="single"/>
      <w:lang w:eastAsia="en-CA"/>
    </w:rPr>
  </w:style>
  <w:style w:type="paragraph" w:styleId="BodyText">
    <w:name w:val="Body Text"/>
    <w:basedOn w:val="Normal"/>
    <w:pPr>
      <w:widowControl/>
      <w:tabs>
        <w:tab w:val="clear" w:pos="720"/>
        <w:tab w:val="center" w:pos="4680" w:leader="none"/>
      </w:tabs>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pPr>
    <w:rPr>
      <w:i/>
      <w:sz w:val="20"/>
    </w:rPr>
  </w:style>
  <w:style w:type="paragraph" w:styleId="BodyTextIndent">
    <w:name w:val="Body Text Indent"/>
    <w:basedOn w:val="Normal"/>
    <w:pPr>
      <w:widowControl/>
      <w:ind w:hanging="720" w:start="720" w:end="0"/>
    </w:pPr>
    <w:rPr>
      <w:rFonts w:ascii="Times New Roman" w:hAnsi="Times New Roman" w:cs="Times New Roman"/>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widowControl/>
    </w:pPr>
    <w:rPr>
      <w:rFonts w:ascii="Courier New" w:hAnsi="Courier New" w:cs="Courier New"/>
      <w:b/>
      <w:lang w:eastAsia="en-C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2000-11-08T17:37:00Z</dcterms:created>
  <dc:creator>Daniel Smith</dc:creator>
  <dc:description/>
  <dc:language>en-CA</dc:language>
  <cp:lastModifiedBy>Daniel Smith</cp:lastModifiedBy>
  <cp:lastPrinted>2000-11-07T15:49:00Z</cp:lastPrinted>
  <dcterms:modified xsi:type="dcterms:W3CDTF">2000-11-08T17:37:00Z</dcterms:modified>
  <cp:revision>2</cp:revision>
  <dc:subject/>
  <dc:title>ENERGY BAR ASSOCIATION</dc:title>
</cp:coreProperties>
</file>