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moBig"/>
        <w:ind w:start="0" w:end="0"/>
        <w:rPr>
          <w:b w:val="false"/>
          <w:sz w:val="25"/>
        </w:rPr>
      </w:pPr>
      <w:r>
        <w:rPr>
          <w:b w:val="false"/>
          <w:sz w:val="25"/>
        </w:rPr>
      </w:r>
    </w:p>
    <w:p>
      <w:pPr>
        <w:pStyle w:val="MemoBig"/>
        <w:ind w:start="0" w:end="0"/>
        <w:rPr>
          <w:sz w:val="36"/>
        </w:rPr>
      </w:pPr>
      <w:r>
        <w:rPr>
          <w:sz w:val="36"/>
        </w:rPr>
        <w:t>MEMORANDUM</w:t>
      </w:r>
    </w:p>
    <w:p>
      <w:pPr>
        <w:pStyle w:val="Normal"/>
        <w:rPr>
          <w:sz w:val="36"/>
        </w:rPr>
      </w:pPr>
      <w:r>
        <w:rPr>
          <w:sz w:val="36"/>
        </w:rPr>
      </w:r>
    </w:p>
    <w:p>
      <w:pPr>
        <w:pStyle w:val="Normal"/>
        <w:rPr/>
      </w:pPr>
      <w:r>
        <w:rPr/>
        <w:t>TO:</w:t>
        <w:tab/>
        <w:tab/>
        <w:t>Mark Kleinginna</w:t>
      </w:r>
    </w:p>
    <w:p>
      <w:pPr>
        <w:pStyle w:val="Normal"/>
        <w:rPr/>
      </w:pPr>
      <w:r>
        <w:rPr/>
        <w:tab/>
        <w:tab/>
        <w:t>Mike Cesario</w:t>
      </w:r>
    </w:p>
    <w:p>
      <w:pPr>
        <w:pStyle w:val="Normal"/>
        <w:rPr/>
      </w:pPr>
      <w:r>
        <w:rPr/>
      </w:r>
    </w:p>
    <w:p>
      <w:pPr>
        <w:pStyle w:val="Normal"/>
        <w:rPr/>
      </w:pPr>
      <w:r>
        <w:rPr/>
        <w:t>FROM:</w:t>
        <w:tab/>
        <w:t>Amy Baird</w:t>
      </w:r>
    </w:p>
    <w:p>
      <w:pPr>
        <w:pStyle w:val="Normal"/>
        <w:rPr/>
      </w:pPr>
      <w:r>
        <w:rPr/>
      </w:r>
    </w:p>
    <w:p>
      <w:pPr>
        <w:pStyle w:val="Normal"/>
        <w:rPr/>
      </w:pPr>
      <w:r>
        <w:rPr/>
        <w:t>DATE:</w:t>
        <w:tab/>
        <w:t>October 13, 2000</w:t>
      </w:r>
    </w:p>
    <w:p>
      <w:pPr>
        <w:pStyle w:val="Normal"/>
        <w:rPr/>
      </w:pPr>
      <w:r>
        <w:rPr/>
      </w:r>
    </w:p>
    <w:p>
      <w:pPr>
        <w:pStyle w:val="Normal"/>
        <w:rPr/>
      </w:pPr>
      <w:r>
        <w:rPr/>
        <w:t>RE:</w:t>
        <w:tab/>
        <w:tab/>
        <w:t>Ormet – contract with Enron re: Burnside</w:t>
      </w:r>
    </w:p>
    <w:p>
      <w:pPr>
        <w:pStyle w:val="Normal"/>
        <w:rPr/>
      </w:pPr>
      <w:r>
        <w:rPr/>
        <w:tab/>
        <w:tab/>
        <w:t>L&amp;K File No. 0089-001087</w:t>
      </w:r>
    </w:p>
    <w:p>
      <w:pPr>
        <w:pStyle w:val="MemoStandardText"/>
        <w:pBdr>
          <w:bottom w:val="single" w:sz="12" w:space="1" w:color="000000"/>
        </w:pBdr>
        <w:rPr>
          <w:sz w:val="25"/>
        </w:rPr>
      </w:pPr>
      <w:r>
        <w:rPr>
          <w:sz w:val="25"/>
        </w:rPr>
        <w:tab/>
        <w:tab/>
      </w:r>
    </w:p>
    <w:p>
      <w:pPr>
        <w:pStyle w:val="Normal"/>
        <w:rPr>
          <w:sz w:val="25"/>
        </w:rPr>
      </w:pPr>
      <w:r>
        <w:rPr>
          <w:sz w:val="25"/>
        </w:rPr>
      </w:r>
    </w:p>
    <w:p>
      <w:pPr>
        <w:pStyle w:val="Normal"/>
        <w:rPr/>
      </w:pPr>
      <w:r>
        <w:rPr/>
      </w:r>
    </w:p>
    <w:p>
      <w:pPr>
        <w:pStyle w:val="Normal"/>
        <w:rPr/>
      </w:pPr>
      <w:r>
        <w:rPr/>
        <w:t>Mark and Mike:</w:t>
      </w:r>
    </w:p>
    <w:p>
      <w:pPr>
        <w:pStyle w:val="Normal"/>
        <w:rPr/>
      </w:pPr>
      <w:r>
        <w:rPr/>
      </w:r>
    </w:p>
    <w:p>
      <w:pPr>
        <w:pStyle w:val="Normal"/>
        <w:rPr/>
      </w:pPr>
      <w:r>
        <w:rPr/>
        <w:tab/>
        <w:t>The following are my comments on the latest draft of the Enron contract:</w:t>
      </w:r>
    </w:p>
    <w:p>
      <w:pPr>
        <w:pStyle w:val="Normal"/>
        <w:rPr/>
      </w:pPr>
      <w:r>
        <w:rPr/>
      </w:r>
    </w:p>
    <w:p>
      <w:pPr>
        <w:pStyle w:val="Normal"/>
        <w:numPr>
          <w:ilvl w:val="0"/>
          <w:numId w:val="2"/>
        </w:numPr>
        <w:spacing w:before="0" w:after="240"/>
        <w:rPr/>
      </w:pPr>
      <w:r>
        <w:rPr/>
        <w:t>The references to volumes “scheduled” or obligations to “schedule” volumes in Article 3 should all be changed to “deliver” or “delivered” in the case of Seller, and “receive or “received” in the case of Buyer.</w:t>
      </w:r>
    </w:p>
    <w:p>
      <w:pPr>
        <w:pStyle w:val="Normal"/>
        <w:numPr>
          <w:ilvl w:val="0"/>
          <w:numId w:val="2"/>
        </w:numPr>
        <w:spacing w:before="0" w:after="240"/>
        <w:rPr/>
      </w:pPr>
      <w:r>
        <w:rPr/>
        <w:t>In Section 3.2 after the word “costs” in line 9, add the following: “plus (iii) all transportation fees and charges incurred by Buyer to have the replacement volumes delivered to the Delivery Points plus (iv) consequential damages incurred by Buyer as a result of Seller’s failure to deliver.  For purposes of this section 3.2, the term “consequential damages” shall mean (a) all profits lost by Buyer or any of its affiliates as a direct or indirect result of Seller’s failure to deliver; and (b) all costs incurred by Buyer as a direct or indirect result of Seller’s failure to deliver, including but not limited to costs associated with alternate fuel, labor expenses, repair to or replacement of machinery, product or piping, loss of production at the Plant, loss of production at the facilities of any of Buyer’s affiliates, loss of use, plant shut-down and start-up expenses, any take-or-pay commitments and transportation demand charges.  Seller’s liability for the payment of consequential damages under this Section 3.2 shall be limited to a total of $1,000,000 for each occurrence of non-performance.</w:t>
      </w:r>
    </w:p>
    <w:p>
      <w:pPr>
        <w:pStyle w:val="Normal"/>
        <w:numPr>
          <w:ilvl w:val="0"/>
          <w:numId w:val="2"/>
        </w:numPr>
        <w:spacing w:before="0" w:after="240"/>
        <w:rPr/>
      </w:pPr>
      <w:r>
        <w:rPr/>
        <w:t>In Section 8.3, the sentence beginning “Neither party shall be liable...” that appears in bold should be deleted.  Beginning with the sentence that starts “Buyer acknowledges that it has entered...” the section should be deleted to the end.</w:t>
      </w:r>
    </w:p>
    <w:p>
      <w:pPr>
        <w:pStyle w:val="Normal"/>
        <w:numPr>
          <w:ilvl w:val="0"/>
          <w:numId w:val="2"/>
        </w:numPr>
        <w:spacing w:before="0" w:after="240"/>
        <w:rPr/>
      </w:pPr>
      <w:r>
        <w:rPr/>
        <w:t>On Appendix 1, the sections relating to arbitration should be deleted.</w:t>
      </w:r>
    </w:p>
    <w:p>
      <w:pPr>
        <w:pStyle w:val="Normal"/>
        <w:numPr>
          <w:ilvl w:val="0"/>
          <w:numId w:val="2"/>
        </w:numPr>
        <w:spacing w:before="0" w:after="240"/>
        <w:rPr/>
      </w:pPr>
      <w:r>
        <w:rPr/>
        <w:t xml:space="preserve">On Appendix 1, after the word “price” in line 11 of the </w:t>
      </w:r>
      <w:r>
        <w:rPr>
          <w:i/>
        </w:rPr>
        <w:t>force majeure</w:t>
      </w:r>
      <w:r>
        <w:rPr/>
        <w:t xml:space="preserve"> provision, the following should be inserted: “nor (iii) the failure or inability of any Transporter to transport the gas to be delivered hereunder, except in the case of a physical </w:t>
      </w:r>
      <w:r>
        <w:rPr>
          <w:i/>
        </w:rPr>
        <w:t>force majeure</w:t>
      </w:r>
      <w:r>
        <w:rPr/>
        <w:t xml:space="preserve"> event occurring simultaneously on the pipeline systems of Koch Gateway Pipeline and Cypress Pipeline,”.</w:t>
      </w:r>
    </w:p>
    <w:p>
      <w:pPr>
        <w:pStyle w:val="Normal"/>
        <w:rPr/>
      </w:pPr>
      <w:r>
        <w:rPr/>
      </w:r>
    </w:p>
    <w:p>
      <w:pPr>
        <w:pStyle w:val="Normal"/>
        <w:rPr/>
      </w:pPr>
      <w:r>
        <w:rPr/>
      </w:r>
    </w:p>
    <w:p>
      <w:pPr>
        <w:pStyle w:val="Normal"/>
        <w:rPr/>
      </w:pPr>
      <w:r>
        <w:rPr/>
        <w:t>ALB:mag</w:t>
      </w:r>
    </w:p>
    <w:p>
      <w:pPr>
        <w:pStyle w:val="MemoStandardText"/>
        <w:rPr>
          <w:sz w:val="12"/>
        </w:rPr>
      </w:pPr>
      <w:r>
        <w:rPr>
          <w:sz w:val="12"/>
        </w:rPr>
        <w:fldChar w:fldCharType="begin"/>
      </w:r>
      <w:r>
        <w:rPr>
          <w:sz w:val="12"/>
        </w:rPr>
        <w:instrText xml:space="preserve"> FILENAME </w:instrText>
      </w:r>
      <w:r>
        <w:rPr>
          <w:sz w:val="12"/>
        </w:rPr>
        <w:fldChar w:fldCharType="separate"/>
      </w:r>
      <w:r>
        <w:rPr>
          <w:sz w:val="12"/>
        </w:rPr>
        <w:t>LK_227614_1.DOC</w:t>
      </w:r>
      <w:r>
        <w:rPr>
          <w:sz w:val="12"/>
        </w:rPr>
        <w:fldChar w:fldCharType="end"/>
      </w:r>
    </w:p>
    <w:p>
      <w:pPr>
        <w:pStyle w:val="MemoStandardText"/>
        <w:rPr>
          <w:sz w:val="25"/>
        </w:rPr>
      </w:pPr>
      <w:r>
        <w:rPr>
          <w:sz w:val="25"/>
        </w:rPr>
      </w:r>
    </w:p>
    <w:sectPr>
      <w:headerReference w:type="default" r:id="rId2"/>
      <w:headerReference w:type="first" r:id="rId3"/>
      <w:type w:val="nextPage"/>
      <w:pgSz w:w="12240" w:h="15840"/>
      <w:pgMar w:left="1440" w:right="1440" w:gutter="0" w:header="1440" w:top="216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1)">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p>
  <w:p>
    <w:pPr>
      <w:pStyle w:val="Header"/>
      <w:rPr>
        <w:lang w:val="en-CA"/>
      </w:rPr>
    </w:pPr>
    <w:r>
      <w:rPr>
        <w:lang w:val="en-CA"/>
      </w:rPr>
      <w:fldChar w:fldCharType="begin"/>
    </w:r>
    <w:r>
      <w:rPr>
        <w:lang w:val="en-CA"/>
      </w:rPr>
      <w:instrText xml:space="preserve"> DATE \@"MMMM\ d', 'yyyy" </w:instrText>
    </w:r>
    <w:r>
      <w:rPr>
        <w:lang w:val="en-CA"/>
      </w:rPr>
      <w:fldChar w:fldCharType="separate"/>
    </w:r>
    <w:r>
      <w:rPr>
        <w:lang w:val="en-CA"/>
      </w:rPr>
      <w:t>September 28, 2025</w:t>
    </w:r>
    <w:r>
      <w:rPr>
        <w:lang w:val="en-CA"/>
      </w:rPr>
      <w:fldChar w:fldCharType="end"/>
    </w:r>
  </w:p>
  <w:p>
    <w:pPr>
      <w:pStyle w:val="Header"/>
      <w:rPr>
        <w:rStyle w:val="PageNumber"/>
      </w:rPr>
    </w:pPr>
    <w:r>
      <w:rPr>
        <w:lang w:val="en-CA"/>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lang w:val="en-CA"/>
      </w:rPr>
    </w:pPr>
    <w:r>
      <w:rPr/>
    </w:r>
  </w:p>
  <w:p>
    <w:pPr>
      <w:pStyle w:val="Header"/>
      <w:rPr>
        <w:lang w:val="en-CA"/>
      </w:rPr>
    </w:pPr>
    <w:r>
      <w:rPr>
        <w:lang w:val="en-CA"/>
      </w:rPr>
      <w:drawing>
        <wp:anchor behindDoc="0" distT="0" distB="0" distL="114935" distR="114935" simplePos="0" locked="0" layoutInCell="0" allowOverlap="1" relativeHeight="2">
          <wp:simplePos x="0" y="0"/>
          <wp:positionH relativeFrom="page">
            <wp:posOffset>457200</wp:posOffset>
          </wp:positionH>
          <wp:positionV relativeFrom="page">
            <wp:posOffset>365760</wp:posOffset>
          </wp:positionV>
          <wp:extent cx="1761490" cy="203200"/>
          <wp:effectExtent l="0" t="0" r="0" b="0"/>
          <wp:wrapTopAndBottom/>
          <wp:docPr id="1" name="L&amp;k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p;kc" descr="" title=""/>
                  <pic:cNvPicPr>
                    <a:picLocks noChangeAspect="1" noChangeArrowheads="1"/>
                  </pic:cNvPicPr>
                </pic:nvPicPr>
                <pic:blipFill>
                  <a:blip r:embed="rId1"/>
                  <a:srcRect l="-20" t="-177" r="-20" b="-177"/>
                  <a:stretch>
                    <a:fillRect/>
                  </a:stretch>
                </pic:blipFill>
                <pic:spPr bwMode="auto">
                  <a:xfrm>
                    <a:off x="0" y="0"/>
                    <a:ext cx="1761490" cy="203200"/>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410" w:leader="none"/>
      </w:tabs>
      <w:rPr/>
    </w:pPr>
    <w:r>
      <mc:AlternateContent>
        <mc:Choice Requires="wps">
          <w:drawing>
            <wp:anchor behindDoc="1" distT="0" distB="0" distL="114935" distR="114935" simplePos="0" locked="0" layoutInCell="1" allowOverlap="1" relativeHeight="3">
              <wp:simplePos x="0" y="0"/>
              <wp:positionH relativeFrom="column">
                <wp:posOffset>1554480</wp:posOffset>
              </wp:positionH>
              <wp:positionV relativeFrom="paragraph">
                <wp:posOffset>640080</wp:posOffset>
              </wp:positionV>
              <wp:extent cx="1280160" cy="635"/>
              <wp:effectExtent l="635" t="25400" r="635" b="25400"/>
              <wp:wrapNone/>
              <wp:docPr id="2" name=""/>
              <a:graphic xmlns:a="http://schemas.openxmlformats.org/drawingml/2006/main">
                <a:graphicData uri="http://schemas.microsoft.com/office/word/2010/wordprocessingShape">
                  <wps:wsp>
                    <wps:cNvSpPr/>
                    <wps:spPr>
                      <a:xfrm flipH="1">
                        <a:off x="0" y="0"/>
                        <a:ext cx="1280160" cy="720"/>
                      </a:xfrm>
                      <a:prstGeom prst="line">
                        <a:avLst/>
                      </a:prstGeom>
                      <a:ln w="50760">
                        <a:solidFill>
                          <a:srgbClr val="000000"/>
                        </a:solidFill>
                        <a:miter/>
                      </a:ln>
                    </wps:spPr>
                    <wps:style>
                      <a:lnRef idx="0"/>
                      <a:fillRef idx="0"/>
                      <a:effectRef idx="0"/>
                      <a:fontRef idx="minor"/>
                    </wps:style>
                    <wps:bodyPr/>
                  </wps:wsp>
                </a:graphicData>
              </a:graphic>
            </wp:anchor>
          </w:drawing>
        </mc:Choice>
        <mc:Fallback>
          <w:pict>
            <v:line id="shape_0" from="122.4pt,50.4pt" to="223.15pt,50.4pt" stroked="t" o:allowincell="f" style="position:absolute;flip:x">
              <v:stroke color="black" weight="507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
              <wp:simplePos x="0" y="0"/>
              <wp:positionH relativeFrom="column">
                <wp:posOffset>3383280</wp:posOffset>
              </wp:positionH>
              <wp:positionV relativeFrom="paragraph">
                <wp:posOffset>640080</wp:posOffset>
              </wp:positionV>
              <wp:extent cx="1554480" cy="635"/>
              <wp:effectExtent l="635" t="25400" r="635" b="25400"/>
              <wp:wrapNone/>
              <wp:docPr id="3" name=""/>
              <a:graphic xmlns:a="http://schemas.openxmlformats.org/drawingml/2006/main">
                <a:graphicData uri="http://schemas.microsoft.com/office/word/2010/wordprocessingShape">
                  <wps:wsp>
                    <wps:cNvSpPr/>
                    <wps:spPr>
                      <a:xfrm flipH="1">
                        <a:off x="0" y="0"/>
                        <a:ext cx="1554480" cy="720"/>
                      </a:xfrm>
                      <a:prstGeom prst="line">
                        <a:avLst/>
                      </a:prstGeom>
                      <a:ln w="50760">
                        <a:solidFill>
                          <a:srgbClr val="000000"/>
                        </a:solidFill>
                        <a:miter/>
                      </a:ln>
                    </wps:spPr>
                    <wps:style>
                      <a:lnRef idx="0"/>
                      <a:fillRef idx="0"/>
                      <a:effectRef idx="0"/>
                      <a:fontRef idx="minor"/>
                    </wps:style>
                    <wps:bodyPr/>
                  </wps:wsp>
                </a:graphicData>
              </a:graphic>
            </wp:anchor>
          </w:drawing>
        </mc:Choice>
        <mc:Fallback>
          <w:pict>
            <v:line id="shape_0" from="266.4pt,50.4pt" to="388.75pt,50.4pt" stroked="t" o:allowincell="f" style="position:absolute;flip:x">
              <v:stroke color="black" weight="50760" joinstyle="miter" endcap="flat"/>
              <v:fill o:detectmouseclick="t" on="false"/>
              <w10:wrap type="none"/>
            </v:line>
          </w:pict>
        </mc:Fallback>
      </mc:AlternateContent>
    </w:r>
    <w:r>
      <w:rPr>
        <w:rFonts w:eastAsia="Arial (W1)" w:cs="Arial (W1)" w:ascii="Arial (W1)" w:hAnsi="Arial (W1)"/>
        <w:b/>
        <w:sz w:val="52"/>
      </w:rPr>
      <w:t xml:space="preserve">                              </w:t>
    </w:r>
    <w:r>
      <w:rPr>
        <w:rFonts w:cs="Arial (W1)" w:ascii="Arial (W1)" w:hAnsi="Arial (W1)"/>
        <w:b/>
        <w:sz w:val="52"/>
      </w:rPr>
      <w:t>L</w:t>
    </w:r>
    <w:r>
      <w:rPr>
        <w:rFonts w:cs="Arial (W1)" w:ascii="Arial (W1)" w:hAnsi="Arial (W1)"/>
        <w:b/>
        <w:sz w:val="24"/>
      </w:rPr>
      <w:t>&amp;</w:t>
    </w:r>
    <w:r>
      <w:rPr>
        <w:rFonts w:cs="Arial (W1)" w:ascii="Arial (W1)" w:hAnsi="Arial (W1)"/>
        <w:b/>
        <w:sz w:val="96"/>
        <w:vertAlign w:val="subscript"/>
      </w:rPr>
      <w:t>K</w:t>
    </w:r>
    <w:r>
      <w:rPr>
        <w:rFonts w:cs="Arial (W1)" w:ascii="Arial (W1)" w:hAnsi="Arial (W1)"/>
        <w:b/>
        <w:sz w:val="52"/>
      </w:rPr>
      <w:t xml:space="preserve"> </w:t>
    </w:r>
  </w:p>
  <w:p>
    <w:pPr>
      <w:pStyle w:val="Normal"/>
      <w:tabs>
        <w:tab w:val="left" w:pos="720" w:leader="none"/>
      </w:tabs>
      <w:jc w:val="center"/>
      <w:rPr/>
    </w:pPr>
    <w:r>
      <w:rPr>
        <w:rFonts w:cs="Arial (W1)" w:ascii="Arial (W1)" w:hAnsi="Arial (W1)"/>
        <w:b/>
        <w:sz w:val="44"/>
      </w:rPr>
      <w:t>L</w:t>
    </w:r>
    <w:r>
      <w:rPr>
        <w:rFonts w:cs="Arial (W1)" w:ascii="Arial (W1)" w:hAnsi="Arial (W1)"/>
        <w:b/>
        <w:sz w:val="36"/>
      </w:rPr>
      <w:t>EMLE</w:t>
    </w:r>
    <w:r>
      <w:rPr>
        <w:rFonts w:cs="Arial (W1)" w:ascii="Arial (W1)" w:hAnsi="Arial (W1)"/>
        <w:b/>
        <w:sz w:val="44"/>
      </w:rPr>
      <w:t xml:space="preserve"> &amp; K</w:t>
    </w:r>
    <w:r>
      <w:rPr>
        <w:rFonts w:cs="Arial (W1)" w:ascii="Arial (W1)" w:hAnsi="Arial (W1)"/>
        <w:b/>
        <w:sz w:val="36"/>
      </w:rPr>
      <w:t>ELLEHER</w:t>
    </w:r>
    <w:r>
      <w:rPr>
        <w:rFonts w:cs="Arial (W1)" w:ascii="Arial (W1)" w:hAnsi="Arial (W1)"/>
        <w:b/>
        <w:sz w:val="44"/>
      </w:rPr>
      <w:t>, L.L.P.</w:t>
    </w:r>
  </w:p>
  <w:p>
    <w:pPr>
      <w:pStyle w:val="Normal"/>
      <w:tabs>
        <w:tab w:val="left" w:pos="720" w:leader="none"/>
      </w:tabs>
      <w:jc w:val="center"/>
      <w:rPr>
        <w:rFonts w:ascii="Arial" w:hAnsi="Arial" w:cs="Arial"/>
        <w:b/>
        <w:sz w:val="24"/>
        <w:lang w:val="en-CA"/>
      </w:rPr>
    </w:pPr>
    <w:r>
      <w:rPr>
        <w:rFonts w:cs="Arial" w:ascii="Arial" w:hAnsi="Arial"/>
        <w:b/>
        <w:sz w:val="24"/>
        <w:lang w:val="en-CA"/>
      </w:rPr>
      <mc:AlternateContent>
        <mc:Choice Requires="wps">
          <w:drawing>
            <wp:anchor behindDoc="1" distT="0" distB="0" distL="114935" distR="114935" simplePos="0" locked="0" layoutInCell="1" allowOverlap="1" relativeHeight="5">
              <wp:simplePos x="0" y="0"/>
              <wp:positionH relativeFrom="column">
                <wp:posOffset>1554480</wp:posOffset>
              </wp:positionH>
              <wp:positionV relativeFrom="paragraph">
                <wp:posOffset>74930</wp:posOffset>
              </wp:positionV>
              <wp:extent cx="3383280" cy="635"/>
              <wp:effectExtent l="635" t="25400" r="635" b="25400"/>
              <wp:wrapNone/>
              <wp:docPr id="4" name=""/>
              <a:graphic xmlns:a="http://schemas.openxmlformats.org/drawingml/2006/main">
                <a:graphicData uri="http://schemas.microsoft.com/office/word/2010/wordprocessingShape">
                  <wps:wsp>
                    <wps:cNvSpPr/>
                    <wps:spPr>
                      <a:xfrm flipH="1">
                        <a:off x="0" y="0"/>
                        <a:ext cx="3383280" cy="720"/>
                      </a:xfrm>
                      <a:prstGeom prst="line">
                        <a:avLst/>
                      </a:prstGeom>
                      <a:ln w="50760">
                        <a:solidFill>
                          <a:srgbClr val="000000"/>
                        </a:solidFill>
                        <a:miter/>
                      </a:ln>
                    </wps:spPr>
                    <wps:style>
                      <a:lnRef idx="0"/>
                      <a:fillRef idx="0"/>
                      <a:effectRef idx="0"/>
                      <a:fontRef idx="minor"/>
                    </wps:style>
                    <wps:bodyPr/>
                  </wps:wsp>
                </a:graphicData>
              </a:graphic>
            </wp:anchor>
          </w:drawing>
        </mc:Choice>
        <mc:Fallback>
          <w:pict>
            <v:line id="shape_0" from="122.4pt,5.9pt" to="388.75pt,5.9pt" stroked="t" o:allowincell="f" style="position:absolute;flip:x">
              <v:stroke color="black" weight="50760" joinstyle="miter" endcap="flat"/>
              <v:fill o:detectmouseclick="t" on="false"/>
              <w10:wrap type="none"/>
            </v:line>
          </w:pict>
        </mc:Fallback>
      </mc:AlternateContent>
    </w:r>
  </w:p>
  <w:p>
    <w:pPr>
      <w:pStyle w:val="Header"/>
      <w:tabs>
        <w:tab w:val="left" w:pos="2430" w:leader="none"/>
        <w:tab w:val="center" w:pos="4320" w:leader="none"/>
        <w:tab w:val="left" w:pos="4860" w:leader="none"/>
        <w:tab w:val="right" w:pos="8640" w:leader="none"/>
      </w:tabs>
      <w:jc w:val="center"/>
      <w:rPr>
        <w:rFonts w:ascii="Arial" w:hAnsi="Arial" w:cs="Arial"/>
        <w:sz w:val="24"/>
      </w:rPr>
    </w:pPr>
    <w:r>
      <w:rPr>
        <w:rFonts w:cs="Arial" w:ascii="Arial" w:hAnsi="Arial"/>
        <w:sz w:val="24"/>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720"/>
        </w:tabs>
        <w:ind w:start="0" w:hanging="0"/>
      </w:pPr>
    </w:lvl>
  </w:abstractNum>
  <w:abstractNum w:abstractNumId="2">
    <w:lvl w:ilvl="0">
      <w:start w:val="1"/>
      <w:numFmt w:val="decimal"/>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72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titled">
    <w:name w:val="Entitled"/>
    <w:basedOn w:val="Normal"/>
    <w:next w:val="Normal"/>
    <w:qFormat/>
    <w:pPr>
      <w:jc w:val="center"/>
    </w:pPr>
    <w:rPr>
      <w:b/>
      <w:caps/>
      <w:sz w:val="24"/>
      <w:u w:val="single"/>
    </w:rPr>
  </w:style>
  <w:style w:type="paragraph" w:styleId="MemoBig">
    <w:name w:val="Memo Big"/>
    <w:basedOn w:val="Normal"/>
    <w:qFormat/>
    <w:pPr>
      <w:ind w:hanging="0" w:start="-720" w:end="0"/>
      <w:jc w:val="both"/>
    </w:pPr>
    <w:rPr>
      <w:b/>
      <w:sz w:val="96"/>
    </w:rPr>
  </w:style>
  <w:style w:type="paragraph" w:styleId="MemoDetails">
    <w:name w:val="Memo Details"/>
    <w:basedOn w:val="MemoBig"/>
    <w:qFormat/>
    <w:pPr>
      <w:ind w:hanging="0" w:start="0" w:end="0"/>
    </w:pPr>
    <w:rPr>
      <w:sz w:val="24"/>
    </w:rPr>
  </w:style>
  <w:style w:type="paragraph" w:styleId="MemoStandardText">
    <w:name w:val="Memo StandardText"/>
    <w:basedOn w:val="Normal"/>
    <w:qFormat/>
    <w:pPr>
      <w:jc w:val="both"/>
    </w:pPr>
    <w:rPr>
      <w:sz w:val="24"/>
    </w:rPr>
  </w:style>
  <w:style w:type="paragraph" w:styleId="MemoQuote">
    <w:name w:val="Memo Quote"/>
    <w:basedOn w:val="MemoStandardText"/>
    <w:next w:val="MemoStandardText"/>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Outline1A1">
    <w:name w:val="Normal-Outline1A1"/>
    <w:basedOn w:val="Normal"/>
    <w:qFormat/>
    <w:pPr>
      <w:numPr>
        <w:ilvl w:val="0"/>
        <w:numId w:val="1"/>
      </w:numPr>
      <w:spacing w:before="0" w:after="240"/>
    </w:pPr>
    <w:rPr>
      <w:sz w:val="25"/>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ALB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2000-10-13T18:49:00Z</dcterms:created>
  <dc:creator>Mimi Grisoli</dc:creator>
  <dc:description/>
  <dc:language>en-CA</dc:language>
  <cp:lastModifiedBy>Mimi Grisoli</cp:lastModifiedBy>
  <cp:lastPrinted>2000-10-13T16:19:00Z</cp:lastPrinted>
  <dcterms:modified xsi:type="dcterms:W3CDTF">2000-10-13T18:49:00Z</dcterms:modified>
  <cp:revision>2</cp:revision>
  <dc:subject/>
  <dc:title>MEMORANDUM</dc:title>
</cp:coreProperties>
</file>