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LJM Statement for Wall Street Journal</w:t>
      </w:r>
    </w:p>
    <w:p>
      <w:pPr>
        <w:pStyle w:val="Normal"/>
        <w:rPr/>
      </w:pPr>
      <w:r>
        <w:rPr/>
      </w:r>
    </w:p>
    <w:p>
      <w:pPr>
        <w:pStyle w:val="Normal"/>
        <w:spacing w:lineRule="auto" w:line="360"/>
        <w:rPr/>
      </w:pPr>
      <w:r>
        <w:rPr/>
        <w:t>The LJM partnerships were rigorously and frequently reviewed by internal and external auditors and legal counsel, senior management, and the audit committee of Enron’s Board of Directors.  Each transaction with LJM met a strict test of being in the best interest of Enron and its shareholders, and never was there any obligation for Enron to do any transaction with LJM.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2001-09-27T13:36:00Z</dcterms:created>
  <dc:creator>mpalmer</dc:creator>
  <dc:description/>
  <dc:language>en-CA</dc:language>
  <cp:lastModifiedBy>mpalmer</cp:lastModifiedBy>
  <cp:lastPrinted>2001-09-27T11:37:00Z</cp:lastPrinted>
  <dcterms:modified xsi:type="dcterms:W3CDTF">2001-09-27T15:00:00Z</dcterms:modified>
  <cp:revision>1</cp:revision>
  <dc:subject/>
  <dc:title>LJM Statement for Wall Street Journal</dc:title>
</cp:coreProperties>
</file>