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tabs>
          <w:tab w:val="clear" w:pos="990"/>
          <w:tab w:val="left" w:pos="900" w:leader="none"/>
        </w:tabs>
        <w:ind w:hanging="0" w:start="0" w:end="0"/>
        <w:jc w:val="center"/>
        <w:rPr/>
      </w:pPr>
      <w:r>
        <w:rPr/>
      </w:r>
    </w:p>
    <w:p>
      <w:pPr>
        <w:pStyle w:val="BodyTextIndent2"/>
        <w:tabs>
          <w:tab w:val="clear" w:pos="990"/>
          <w:tab w:val="left" w:pos="900" w:leader="none"/>
        </w:tabs>
        <w:ind w:hanging="0" w:start="0" w:end="0"/>
        <w:jc w:val="center"/>
        <w:rPr/>
      </w:pPr>
      <w:r>
        <w:rPr/>
      </w:r>
    </w:p>
    <w:p>
      <w:pPr>
        <w:pStyle w:val="BodyTextIndent2"/>
        <w:tabs>
          <w:tab w:val="clear" w:pos="990"/>
          <w:tab w:val="left" w:pos="900" w:leader="none"/>
        </w:tabs>
        <w:ind w:hanging="0" w:start="0" w:end="0"/>
        <w:jc w:val="center"/>
        <w:rPr/>
      </w:pPr>
      <w:r>
        <w:rPr/>
        <w:t>December 27, 2000</w:t>
      </w:r>
    </w:p>
    <w:p>
      <w:pPr>
        <w:pStyle w:val="BodyTextIndent2"/>
        <w:tabs>
          <w:tab w:val="clear" w:pos="990"/>
          <w:tab w:val="left" w:pos="900" w:leader="none"/>
        </w:tabs>
        <w:ind w:hanging="0" w:start="0" w:end="0"/>
        <w:rPr/>
      </w:pPr>
      <w:r>
        <w:rPr/>
      </w:r>
    </w:p>
    <w:p>
      <w:pPr>
        <w:pStyle w:val="BodyTextIndent2"/>
        <w:tabs>
          <w:tab w:val="clear" w:pos="990"/>
          <w:tab w:val="left" w:pos="900" w:leader="none"/>
        </w:tabs>
        <w:ind w:hanging="0" w:start="0" w:end="0"/>
        <w:rPr/>
      </w:pPr>
      <w:r>
        <w:rPr/>
        <w:t>Mr. Richard J. Bolbrock</w:t>
      </w:r>
    </w:p>
    <w:p>
      <w:pPr>
        <w:pStyle w:val="BodyTextIndent2"/>
        <w:tabs>
          <w:tab w:val="clear" w:pos="990"/>
          <w:tab w:val="left" w:pos="900" w:leader="none"/>
        </w:tabs>
        <w:ind w:hanging="0" w:start="0" w:end="0"/>
        <w:rPr/>
      </w:pPr>
      <w:r>
        <w:rPr/>
        <w:t>Vice President</w:t>
      </w:r>
    </w:p>
    <w:p>
      <w:pPr>
        <w:pStyle w:val="BodyTextIndent2"/>
        <w:tabs>
          <w:tab w:val="clear" w:pos="990"/>
          <w:tab w:val="left" w:pos="900" w:leader="none"/>
        </w:tabs>
        <w:ind w:hanging="0" w:start="0" w:end="0"/>
        <w:rPr/>
      </w:pPr>
      <w:r>
        <w:rPr/>
        <w:t>Long Island Power Authority</w:t>
      </w:r>
    </w:p>
    <w:p>
      <w:pPr>
        <w:pStyle w:val="BodyTextIndent2"/>
        <w:tabs>
          <w:tab w:val="clear" w:pos="990"/>
          <w:tab w:val="left" w:pos="900" w:leader="none"/>
        </w:tabs>
        <w:ind w:hanging="0" w:start="0" w:end="0"/>
        <w:rPr/>
      </w:pPr>
      <w:r>
        <w:rPr/>
        <w:t>333 Earle Ovington Blvd, Suite 403</w:t>
      </w:r>
    </w:p>
    <w:p>
      <w:pPr>
        <w:pStyle w:val="BodyTextIndent2"/>
        <w:tabs>
          <w:tab w:val="clear" w:pos="990"/>
          <w:tab w:val="left" w:pos="900" w:leader="none"/>
        </w:tabs>
        <w:ind w:hanging="0" w:start="0" w:end="0"/>
        <w:rPr/>
      </w:pPr>
      <w:r>
        <w:rPr/>
        <w:t>Uniondale, NY  11553</w:t>
      </w:r>
    </w:p>
    <w:p>
      <w:pPr>
        <w:pStyle w:val="BodyTextIndent2"/>
        <w:rPr/>
      </w:pPr>
      <w:r>
        <w:rPr/>
      </w:r>
    </w:p>
    <w:p>
      <w:pPr>
        <w:pStyle w:val="BodyTextIndent2"/>
        <w:tabs>
          <w:tab w:val="clear" w:pos="990"/>
          <w:tab w:val="left" w:pos="900" w:leader="none"/>
        </w:tabs>
        <w:ind w:hanging="720" w:start="1440" w:end="0"/>
        <w:rPr/>
      </w:pPr>
      <w:r>
        <w:rPr/>
        <w:t>Re:</w:t>
        <w:tab/>
        <w:t>Term Sheet Proposing Revisions to Prior Agreement and Draft Power Purchase Agreement for use by Enron North America Corp. (ENA) in arranging to provide barge mounted generation service to Long Island Lighting Company, doing business as LIPA (LIPA)</w:t>
      </w:r>
    </w:p>
    <w:p>
      <w:pPr>
        <w:pStyle w:val="Normal"/>
        <w:rPr>
          <w:sz w:val="24"/>
        </w:rPr>
      </w:pPr>
      <w:r>
        <w:rPr>
          <w:sz w:val="24"/>
        </w:rPr>
      </w:r>
    </w:p>
    <w:p>
      <w:pPr>
        <w:pStyle w:val="Normal"/>
        <w:rPr>
          <w:sz w:val="24"/>
        </w:rPr>
      </w:pPr>
      <w:r>
        <w:rPr>
          <w:sz w:val="24"/>
        </w:rPr>
        <w:t>Dear. Mr. Bolbrock,</w:t>
      </w:r>
    </w:p>
    <w:p>
      <w:pPr>
        <w:pStyle w:val="Normal"/>
        <w:rPr>
          <w:sz w:val="24"/>
        </w:rPr>
      </w:pPr>
      <w:r>
        <w:rPr>
          <w:sz w:val="24"/>
        </w:rPr>
      </w:r>
    </w:p>
    <w:p>
      <w:pPr>
        <w:pStyle w:val="BodyTextIndent"/>
        <w:spacing w:before="0" w:after="120"/>
        <w:rPr/>
      </w:pPr>
      <w:r>
        <w:rPr/>
        <w:t>This letter responds to LIPA’s request made at our meeting of Wednesday, December 20, 2000 for a more specific “term sheet” outlining changes that ENA requires to be made to (i) the Agreement dated as of August 1, 2000 (commonly referred to as the “Interim Agreement”) and (ii) the Power Purchase Agreement Draft dated August 16, 2000 prepared by the Van Ness Feldman firm (the “PPA Draft”).</w:t>
      </w:r>
    </w:p>
    <w:p>
      <w:pPr>
        <w:pStyle w:val="BodyTextIndent"/>
        <w:spacing w:before="0" w:after="120"/>
        <w:rPr/>
      </w:pPr>
      <w:r>
        <w:rPr/>
        <w:t>Elaborating on the suggestions contained in our letter to LIPA of December 19, 2000, ENA believes that in order to implement an interim transaction designed to lead to the execution of an acceptable power purchase agreement, a new Interim Agreement should be entered into between ENA and LIPA, containing the modifications set forth below.  In addition, the PPA Draft should be modified as outline in the section below titled Proposed PPA.</w:t>
      </w:r>
    </w:p>
    <w:p>
      <w:pPr>
        <w:pStyle w:val="BodyTextIndent"/>
        <w:spacing w:before="0" w:after="120"/>
        <w:ind w:hanging="0" w:end="0"/>
        <w:rPr>
          <w:b/>
          <w:u w:val="single"/>
        </w:rPr>
      </w:pPr>
      <w:r>
        <w:rPr>
          <w:b/>
          <w:u w:val="single"/>
        </w:rPr>
        <w:t>INTERIM AGREEMENT</w:t>
      </w:r>
    </w:p>
    <w:p>
      <w:pPr>
        <w:pStyle w:val="BodyTextIndent"/>
        <w:numPr>
          <w:ilvl w:val="0"/>
          <w:numId w:val="1"/>
        </w:numPr>
        <w:spacing w:before="0" w:after="120"/>
        <w:rPr/>
      </w:pPr>
      <w:r>
        <w:rPr>
          <w:u w:val="single"/>
        </w:rPr>
        <w:t>Activity Costs</w:t>
      </w:r>
      <w:r>
        <w:rPr/>
        <w:t>.  The first sentence of Section 8.1 would be revised to read as follows, in order to supply greater precision to what is meant by the term “Activity Costs”:</w:t>
      </w:r>
    </w:p>
    <w:p>
      <w:pPr>
        <w:pStyle w:val="BodyTextIndent"/>
        <w:spacing w:before="0" w:after="120"/>
        <w:ind w:hanging="0" w:start="360" w:end="720"/>
        <w:rPr/>
      </w:pPr>
      <w:r>
        <w:rPr/>
        <w:t>“</w:t>
      </w:r>
      <w:r>
        <w:rPr/>
        <w:t xml:space="preserve">For purposes of this Agreement, the term “Activity Costs” shall mean all actual costs that are reasonably incurred by ENA or its designees in pursuit of the Project during any period prior to the first day that ENA makes capacity available to LIPA under a fully executed and approved power purchase agreement, which costs the Parties agree shall include, without limitation, (a) all costs expended in connection with permitting the Project, such as the conduct of economic and environmental studies and the compensation of consultants and counsel utilized to assist in the preparation and prosecution of applications of permits, approvals and authorizations, (b) all costs incurred to transporting, storing and finally locating  the barges from their original berthing sites in the Philippines to the Project site, (c) all costs to construct water and land based facilities required by the Project, including, without limitation, the taking of soundings and assessment of access to the Project site, the construction of permanent moorings and gangplank and reimbursement to KeySpan for its conduct of interconnect studies and installation of interconnection facility upgrades, (d) all other site specific costs incurred by ENA or its designees in connection with the Project, including carrying costs (i) allocated to ENA with respect to the barges and (ii) that hereafter incurred by ENA attributable to refurbishing activities undertaken with respect to the turbines.  The Parties specifically agree as follows: (x) a listing of examples of the types of items included within the meaning of Activity Costs that have been heretofore incurred and that are anticipated to be incurred in the future are listed on Exhibit A hereto, for illustrative purposes, and not as a means to limit the type or amount of Activity Costs that ENA shall be entitled to be reimbursed for under this Agreement (the “Notional Activity Cost Listing”), (y) notwithstanding the listing of cost contained in the previous sentence, the actions taken and the work to be undertaken by ENA to inspect and refurbish the hot gas path components of the turbines portion of the barges shall not comprise Activity Costs, and (z) in no event shall LIPA have an obligation to reimburse Activity Costs to ENA under this Agreement in an amount greater than </w:t>
      </w:r>
      <w:r>
        <w:rPr>
          <w:b/>
          <w:bCs/>
        </w:rPr>
        <w:t>[$8,800,000]</w:t>
      </w:r>
      <w:r>
        <w:rPr/>
        <w:t>.”</w:t>
      </w:r>
    </w:p>
    <w:p>
      <w:pPr>
        <w:pStyle w:val="BodyTextIndent"/>
        <w:numPr>
          <w:ilvl w:val="0"/>
          <w:numId w:val="1"/>
        </w:numPr>
        <w:spacing w:before="0" w:after="120"/>
        <w:rPr/>
      </w:pPr>
      <w:r>
        <w:rPr>
          <w:u w:val="single"/>
        </w:rPr>
        <w:t>Reimbursement Modifications</w:t>
      </w:r>
      <w:r>
        <w:rPr/>
        <w:t>.  Section 8.4 of the Interim Agreement would be deleted and Section 8.2 would be revised to read as follows:</w:t>
      </w:r>
    </w:p>
    <w:p>
      <w:pPr>
        <w:pStyle w:val="BodyTextIndent"/>
        <w:spacing w:before="0" w:after="120"/>
        <w:ind w:hanging="0" w:start="360" w:end="0"/>
        <w:rPr/>
      </w:pPr>
      <w:r>
        <w:rPr/>
        <w:t>“</w:t>
      </w:r>
      <w:r>
        <w:rPr/>
        <w:t>LIPA shall reimburse ENA for one hundred percent (100%) of the Activity Costs if (i) for reasons other tan ENA’s breach of this Agreement, LIPA elects to terminate this Agreement prior to the Lead Agency’s “determination of significance” as such term is defined under SEQRA; (ii) the Board fails to authorize the execution of the PPA initially agreed to by the Parties and as submitted to the Board by LIPA pursuant to Article 3.2 of the PPA as may be modified by the Parties and submitted to the Board pursuant to Article 3.3 hereto; (iii) any application by ENA for a Permit is denied or (iv) LIPA’s request for approval of the PPA by the Comptroller or by any other governmental agency whose approval is required as a condition to effectiveness of the PPA is denied.”</w:t>
      </w:r>
    </w:p>
    <w:p>
      <w:pPr>
        <w:pStyle w:val="BodyTextIndent"/>
        <w:numPr>
          <w:ilvl w:val="0"/>
          <w:numId w:val="1"/>
        </w:numPr>
        <w:spacing w:before="0" w:after="120"/>
        <w:rPr/>
      </w:pPr>
      <w:r>
        <w:rPr>
          <w:u w:val="single"/>
        </w:rPr>
        <w:t>Freeze on ENA Expenditures.</w:t>
      </w:r>
      <w:r>
        <w:rPr/>
        <w:t xml:space="preserve">  If LIPA agrees to modify the Interim Agreement as described above, ENA has no plans to spent money or make commitments to spend money, other than attending meetings with governmental agencies in pursuit of Permits where significant payments to consultants are not required, until such time as ENA receives confirmation of the Comptroller’s approval of the new Interim Agreement. ENA understands from our prior meeting that LIPA will be in a position to expedite the Comptroller’s approval of both the Interim Agreement and the PPA.</w:t>
      </w:r>
    </w:p>
    <w:p>
      <w:pPr>
        <w:pStyle w:val="BodyTextIndent"/>
        <w:spacing w:before="0" w:after="120"/>
        <w:ind w:hanging="0" w:end="0"/>
        <w:rPr>
          <w:b/>
          <w:u w:val="single"/>
        </w:rPr>
      </w:pPr>
      <w:r>
        <w:rPr>
          <w:b/>
          <w:u w:val="single"/>
        </w:rPr>
        <w:t>PROPOSED PPA</w:t>
      </w:r>
      <w:r>
        <w:rPr/>
        <w:t xml:space="preserve"> The PPA Draft distributed by LIPA’s outside counsel to ENA on August 16, 2000, would serve as the starting point for finalizing the draft PPA referred to in Section 3.1 of the Interim Agreement, with ENA requiring that the following modifications be made to the PPA Draft:</w:t>
      </w:r>
    </w:p>
    <w:p>
      <w:pPr>
        <w:pStyle w:val="BodyTextIndent"/>
        <w:numPr>
          <w:ilvl w:val="0"/>
          <w:numId w:val="2"/>
        </w:numPr>
        <w:spacing w:before="0" w:after="120"/>
        <w:rPr/>
      </w:pPr>
      <w:r>
        <w:rPr>
          <w:u w:val="single"/>
        </w:rPr>
        <w:t>Date of Initial Commercial Operations</w:t>
      </w:r>
      <w:r>
        <w:rPr/>
        <w:t>.  If LIPA desires that ENA sign the PPA prior to ENA’s securing of all Permits necessary to provide capacity and energy under the PPA Draft, Section 6.1.1 will have to be revised to remove the unilateral burden on ENA that would be imposed by unforeseen or unreasonable permitting requirements; a solution would be to remove the delay damages provision from Section 5.2 of the PPA Draft and clarify that Permit related perform issues shall not give rise to an Event of Default. If LIPA is unwilling to make such changes, ENA will be unwilling to sign the PPA until it is certain that it holds all required Permits.</w:t>
      </w:r>
    </w:p>
    <w:p>
      <w:pPr>
        <w:pStyle w:val="BodyTextIndent"/>
        <w:numPr>
          <w:ilvl w:val="0"/>
          <w:numId w:val="2"/>
        </w:numPr>
        <w:spacing w:before="0" w:after="120"/>
        <w:rPr/>
      </w:pPr>
      <w:r>
        <w:rPr>
          <w:u w:val="single"/>
        </w:rPr>
        <w:t>Operations &amp; Maintenance</w:t>
      </w:r>
      <w:r>
        <w:rPr/>
        <w:t>.  ENA proposed that the monthly Capacity Charge be revised to reflect LIPA’s assumption of operational and maintenance cost by having LIPA pay necessary O&amp;M costs directly to ENA, or to such O&amp;M provider as ENA selects. While major capital replacement for which manufacturer’s equipment warranty plans or insurance products are available could be covered as ENA responsibilities; however, the deductibles and costs of maintaining such plans or policies would be passed through to LIPA in addition to the Capacity Charge.</w:t>
      </w:r>
    </w:p>
    <w:p>
      <w:pPr>
        <w:pStyle w:val="BodyTextIndent"/>
        <w:numPr>
          <w:ilvl w:val="0"/>
          <w:numId w:val="2"/>
        </w:numPr>
        <w:spacing w:before="0" w:after="120"/>
        <w:rPr/>
      </w:pPr>
      <w:r>
        <w:rPr>
          <w:u w:val="single"/>
        </w:rPr>
        <w:t>Limited Monetary Liability</w:t>
      </w:r>
      <w:r>
        <w:rPr/>
        <w:t>. ENA cannot enter into a power purchase agreement whose damages are unlimited and tied to volatile energy indexes and ISO-derived capacity charges.  ENA would accept the existing Section 4.5 if a provision is added that clarifies ENA’s annual liability would for any of the performance failures therein described are capped at $200,000. ENA requests LIPA’s confirmation that none of the contractual performance failures described in Section 4.5 would result in an Event of Default or other event that would permit LIPA to terminate the PPA. Changes to Article 14 may be required to address this point.</w:t>
      </w:r>
    </w:p>
    <w:p>
      <w:pPr>
        <w:pStyle w:val="BodyTextIndent"/>
        <w:numPr>
          <w:ilvl w:val="0"/>
          <w:numId w:val="2"/>
        </w:numPr>
        <w:spacing w:before="0" w:after="120"/>
        <w:rPr/>
      </w:pPr>
      <w:r>
        <w:rPr>
          <w:u w:val="single"/>
        </w:rPr>
        <w:t>Equivalent Availability</w:t>
      </w:r>
      <w:r>
        <w:rPr/>
        <w:t>. Because ENA must have certainty in receiving the Capacity Fee payment stream in the amount originally contracted for, the Equivalent Availability concept set forth in Section 4.2 and the risk of a Capacity Rate adjustment described in Section 4.2.2 is unacceptable. All of Section 4.2 would have to be deleted.</w:t>
      </w:r>
    </w:p>
    <w:p>
      <w:pPr>
        <w:pStyle w:val="Normal"/>
        <w:spacing w:before="0" w:after="120"/>
        <w:ind w:firstLine="540" w:end="0"/>
        <w:jc w:val="both"/>
        <w:rPr/>
      </w:pPr>
      <w:r>
        <w:rPr>
          <w:sz w:val="24"/>
        </w:rPr>
        <w:t>If the foregoing is acceptable to LIPA, ENA would be please to prepare execution copies of the Interim Agreement and circulate an initial draft of the new PPA Draft for LIPA’s review. This letter is not intended to create a binding</w:t>
      </w:r>
      <w:r>
        <w:rPr>
          <w:sz w:val="22"/>
        </w:rPr>
        <w:t xml:space="preserve"> enforceable contract between ENA and LIPA or a duty on ENA’s part to negotiate toward a binding agreement, and it may not be relied upon by either LIPA as the basis for a contract by estoppel.  Any agreement between the two of us is conditioned upon (a) appropriate due diligence, (b) management and board of director approval, and (c) the execution of mutually acceptable definitive agreements and related documentation.</w:t>
      </w:r>
    </w:p>
    <w:p>
      <w:pPr>
        <w:pStyle w:val="BodyTextIndent"/>
        <w:spacing w:before="0" w:after="120"/>
        <w:ind w:hanging="0" w:start="4320" w:end="0"/>
        <w:rPr/>
      </w:pPr>
      <w:r>
        <w:rPr/>
        <w:t>Sincerely,</w:t>
      </w:r>
    </w:p>
    <w:p>
      <w:pPr>
        <w:pStyle w:val="BodyTextIndent"/>
        <w:spacing w:before="0" w:after="120"/>
        <w:ind w:hanging="0" w:start="4320" w:end="0"/>
        <w:rPr/>
      </w:pPr>
      <w:r>
        <w:rPr/>
        <w:t>Enron North America Corp.</w:t>
      </w:r>
    </w:p>
    <w:p>
      <w:pPr>
        <w:pStyle w:val="BodyTextIndent"/>
        <w:spacing w:before="0" w:after="120"/>
        <w:ind w:hanging="0" w:start="4320" w:end="0"/>
        <w:rPr/>
      </w:pPr>
      <w:r>
        <w:rPr/>
        <w:t>By: ________________________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/mnt/main-storage/datasets/enron-docs/doc/LIPA_Termsheet__12_27_00_.doc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LIPA</w:t>
    </w:r>
  </w:p>
  <w:p>
    <w:pPr>
      <w:pStyle w:val="Header"/>
      <w:rPr>
        <w:sz w:val="24"/>
      </w:rPr>
    </w:pPr>
    <w:r>
      <w:rPr>
        <w:sz w:val="24"/>
      </w:rPr>
      <w:t>December 27, 2000</w:t>
    </w:r>
  </w:p>
  <w:p>
    <w:pPr>
      <w:pStyle w:val="Header"/>
      <w:rPr>
        <w:rStyle w:val="PageNumber"/>
        <w:sz w:val="26"/>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Header"/>
      <w:rPr>
        <w:rStyle w:val="PageNumber"/>
        <w:sz w:val="26"/>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4"/>
    </w:rPr>
  </w:style>
  <w:style w:type="paragraph" w:styleId="BodyTextIndent2">
    <w:name w:val="Body Text Indent 2"/>
    <w:basedOn w:val="Normal"/>
    <w:qFormat/>
    <w:pPr>
      <w:tabs>
        <w:tab w:val="clear" w:pos="720"/>
        <w:tab w:val="left" w:pos="990" w:leader="none"/>
      </w:tabs>
      <w:ind w:hanging="450" w:start="99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2000-12-27T19:06:00Z</dcterms:created>
  <dc:creator>Van Hooser Household</dc:creator>
  <dc:description/>
  <dc:language>en-CA</dc:language>
  <cp:lastModifiedBy>svanhoo</cp:lastModifiedBy>
  <cp:lastPrinted>2000-12-19T14:18:00Z</cp:lastPrinted>
  <dcterms:modified xsi:type="dcterms:W3CDTF">2000-12-27T22:13:00Z</dcterms:modified>
  <cp:revision>3</cp:revision>
  <dc:subject/>
  <dc:title>December 18, 2000</dc:title>
</cp:coreProperties>
</file>