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tabs>
          <w:tab w:val="clear" w:pos="720"/>
          <w:tab w:val="center" w:pos="4680" w:leader="none"/>
          <w:tab w:val="left" w:pos="5040" w:leader="none"/>
        </w:tabs>
        <w:rPr>
          <w:rFonts w:ascii="Univers;Arial" w:hAnsi="Univers;Arial" w:cs="Univers;Arial"/>
          <w:u w:val="single"/>
        </w:rPr>
      </w:pPr>
      <w:r>
        <w:rPr>
          <w:rFonts w:cs="Univers;Arial" w:ascii="Univers;Arial" w:hAnsi="Univers;Arial"/>
          <w:u w:val="single"/>
        </w:rPr>
        <w:t>ARTICLE 14</w:t>
      </w:r>
    </w:p>
    <w:p>
      <w:pPr>
        <w:pStyle w:val="Normal"/>
        <w:keepNext w:val="true"/>
        <w:keepLines/>
        <w:tabs>
          <w:tab w:val="clear" w:pos="720"/>
          <w:tab w:val="center" w:pos="4680" w:leader="none"/>
          <w:tab w:val="left" w:pos="5040" w:leader="none"/>
        </w:tabs>
        <w:rPr/>
      </w:pPr>
      <w:r>
        <w:rPr>
          <w:rFonts w:cs="Univers;Arial" w:ascii="Univers;Arial" w:hAnsi="Univers;Arial"/>
        </w:rPr>
        <w:tab/>
      </w:r>
      <w:r>
        <w:rPr>
          <w:rFonts w:cs="Univers;Arial" w:ascii="Univers;Arial" w:hAnsi="Univers;Arial"/>
          <w:u w:val="single"/>
        </w:rPr>
        <w:t>DEFAULT OF CONTRACT, TERMINATION, AND REMEDIES</w:t>
      </w:r>
    </w:p>
    <w:p>
      <w:pPr>
        <w:pStyle w:val="Normal"/>
        <w:keepNext w:val="true"/>
        <w:keepLines/>
        <w:tabs>
          <w:tab w:val="clear" w:pos="720"/>
          <w:tab w:val="center" w:pos="4680" w:leader="none"/>
          <w:tab w:val="left" w:pos="5040" w:leader="none"/>
        </w:tabs>
        <w:rPr>
          <w:rFonts w:ascii="Univers;Arial" w:hAnsi="Univers;Arial" w:cs="Univers;Arial"/>
          <w:u w:val="single"/>
        </w:rPr>
      </w:pPr>
      <w:r>
        <w:rPr>
          <w:rFonts w:cs="Univers;Arial" w:ascii="Univers;Arial" w:hAnsi="Univers;Arial"/>
          <w:u w:val="single"/>
        </w:rPr>
      </w:r>
    </w:p>
    <w:p>
      <w:pPr>
        <w:pStyle w:val="Normal"/>
        <w:keepNext w:val="true"/>
        <w:keepLines/>
        <w:tabs>
          <w:tab w:val="left" w:pos="-1440" w:leader="none"/>
          <w:tab w:val="left" w:pos="-720" w:leader="none"/>
          <w:tab w:val="left" w:pos="0" w:leader="none"/>
          <w:tab w:val="left" w:pos="720" w:leader="none"/>
          <w:tab w:val="left" w:pos="1584" w:leader="none"/>
          <w:tab w:val="left" w:pos="2304" w:leader="none"/>
          <w:tab w:val="left" w:pos="3024" w:leader="none"/>
          <w:tab w:val="left" w:pos="3744" w:leader="none"/>
          <w:tab w:val="left" w:pos="4464" w:leader="none"/>
          <w:tab w:val="left" w:pos="5040" w:leader="none"/>
        </w:tabs>
        <w:spacing w:before="0" w:after="120"/>
        <w:ind w:firstLine="720" w:end="0"/>
        <w:rPr/>
      </w:pPr>
      <w:r>
        <w:rPr>
          <w:rFonts w:cs="Univers;Arial" w:ascii="Univers;Arial" w:hAnsi="Univers;Arial"/>
        </w:rPr>
        <w:t>14.1</w:t>
        <w:tab/>
      </w:r>
      <w:r>
        <w:rPr>
          <w:rFonts w:cs="Univers;Arial" w:ascii="Univers;Arial" w:hAnsi="Univers;Arial"/>
          <w:u w:val="single"/>
        </w:rPr>
        <w:t>Event of Default</w:t>
      </w:r>
      <w:r>
        <w:rPr>
          <w:rFonts w:cs="Univers;Arial" w:ascii="Univers;Arial" w:hAnsi="Univers;Arial"/>
        </w:rPr>
        <w:t>.  An “Event of Default” under this Agreement shall be deemed to occur upon:</w:t>
      </w:r>
    </w:p>
    <w:p>
      <w:pPr>
        <w:pStyle w:val="Normal"/>
        <w:keepLines/>
        <w:tabs>
          <w:tab w:val="left" w:pos="-1440" w:leader="none"/>
          <w:tab w:val="left" w:pos="-720" w:leader="none"/>
          <w:tab w:val="left" w:pos="0" w:leader="none"/>
          <w:tab w:val="left" w:pos="720" w:leader="none"/>
          <w:tab w:val="left" w:pos="1584" w:leader="none"/>
          <w:tab w:val="left" w:pos="2304" w:leader="none"/>
          <w:tab w:val="left" w:pos="3024" w:leader="none"/>
          <w:tab w:val="left" w:pos="3744" w:leader="none"/>
          <w:tab w:val="left" w:pos="4464" w:leader="none"/>
          <w:tab w:val="left" w:pos="5040" w:leader="none"/>
        </w:tabs>
        <w:spacing w:before="0" w:after="120"/>
        <w:ind w:firstLine="864" w:start="720" w:end="0"/>
        <w:rPr>
          <w:rFonts w:ascii="Univers;Arial" w:hAnsi="Univers;Arial" w:cs="Univers;Arial"/>
        </w:rPr>
      </w:pPr>
      <w:r>
        <w:rPr>
          <w:rFonts w:eastAsia="Univers;Arial" w:cs="Univers;Arial" w:ascii="Univers;Arial" w:hAnsi="Univers;Arial"/>
        </w:rPr>
        <w:t xml:space="preserve"> </w:t>
      </w:r>
      <w:r>
        <w:rPr>
          <w:rFonts w:cs="Univers;Arial" w:ascii="Univers;Arial" w:hAnsi="Univers;Arial"/>
        </w:rPr>
        <w:t>(i) failure by either Party to pay any amount due under this Agreement which continues for a period of thirty (30) days after notice of such non-payment;</w:t>
      </w:r>
    </w:p>
    <w:p>
      <w:pPr>
        <w:pStyle w:val="Normal"/>
        <w:tabs>
          <w:tab w:val="left" w:pos="-1440" w:leader="none"/>
          <w:tab w:val="left" w:pos="-720" w:leader="none"/>
          <w:tab w:val="left" w:pos="0" w:leader="none"/>
          <w:tab w:val="left" w:pos="720" w:leader="none"/>
          <w:tab w:val="left" w:pos="1584" w:leader="none"/>
          <w:tab w:val="left" w:pos="2304" w:leader="none"/>
          <w:tab w:val="left" w:pos="3024" w:leader="none"/>
          <w:tab w:val="left" w:pos="3744" w:leader="none"/>
          <w:tab w:val="left" w:pos="4464" w:leader="none"/>
          <w:tab w:val="left" w:pos="5040" w:leader="none"/>
        </w:tabs>
        <w:spacing w:before="0" w:after="120"/>
        <w:ind w:firstLine="864" w:start="720" w:end="0"/>
        <w:rPr>
          <w:rFonts w:ascii="Univers;Arial" w:hAnsi="Univers;Arial" w:cs="Univers;Arial"/>
        </w:rPr>
      </w:pPr>
      <w:r>
        <w:rPr>
          <w:rFonts w:cs="Univers;Arial" w:ascii="Univers;Arial" w:hAnsi="Univers;Arial"/>
        </w:rPr>
        <w:t>(ii) failure by Seller, during a period of one hundred twenty (120) days after the Plant has ceased to operate, to use good faith efforts to resume the provision of Firm Capacity and Associated Energy to Buyer pursuant to this Agreement;</w:t>
      </w:r>
    </w:p>
    <w:p>
      <w:pPr>
        <w:pStyle w:val="Normal"/>
        <w:tabs>
          <w:tab w:val="left" w:pos="-1440" w:leader="none"/>
          <w:tab w:val="left" w:pos="-720" w:leader="none"/>
          <w:tab w:val="left" w:pos="0" w:leader="none"/>
          <w:tab w:val="left" w:pos="720" w:leader="none"/>
          <w:tab w:val="left" w:pos="1584" w:leader="none"/>
          <w:tab w:val="left" w:pos="2304" w:leader="none"/>
          <w:tab w:val="left" w:pos="3024" w:leader="none"/>
          <w:tab w:val="left" w:pos="3744" w:leader="none"/>
          <w:tab w:val="left" w:pos="4464" w:leader="none"/>
          <w:tab w:val="left" w:pos="5040" w:leader="none"/>
        </w:tabs>
        <w:spacing w:before="0" w:after="120"/>
        <w:ind w:firstLine="864" w:start="720" w:end="0"/>
        <w:rPr>
          <w:rFonts w:ascii="Univers;Arial" w:hAnsi="Univers;Arial" w:cs="Univers;Arial"/>
        </w:rPr>
      </w:pPr>
      <w:r>
        <w:rPr>
          <w:rFonts w:cs="Univers;Arial" w:ascii="Univers;Arial" w:hAnsi="Univers;Arial"/>
        </w:rPr>
        <w:t xml:space="preserve">(iii) failure by either Party to substantially perform any material obligation under this Agreement, which failure continues for sixty (60) days after notice of such nonperformance has been received from the other Party; provided, however, that this Agreement shall not terminate if such party diligently commences to cure such failure within such sixty (60) day period and for so long as such Party diligently continues such efforts; </w:t>
      </w:r>
    </w:p>
    <w:p>
      <w:pPr>
        <w:pStyle w:val="Normal"/>
        <w:tabs>
          <w:tab w:val="left" w:pos="-1440" w:leader="none"/>
          <w:tab w:val="left" w:pos="-720" w:leader="none"/>
          <w:tab w:val="left" w:pos="0" w:leader="none"/>
          <w:tab w:val="left" w:pos="720" w:leader="none"/>
          <w:tab w:val="left" w:pos="1584" w:leader="none"/>
          <w:tab w:val="left" w:pos="2304" w:leader="none"/>
          <w:tab w:val="left" w:pos="3024" w:leader="none"/>
          <w:tab w:val="left" w:pos="3744" w:leader="none"/>
          <w:tab w:val="left" w:pos="4464" w:leader="none"/>
          <w:tab w:val="left" w:pos="5040" w:leader="none"/>
        </w:tabs>
        <w:spacing w:before="0" w:after="120"/>
        <w:ind w:firstLine="864" w:start="720" w:end="0"/>
        <w:rPr/>
      </w:pPr>
      <w:r>
        <w:rPr>
          <w:rFonts w:cs="Univers;Arial" w:ascii="Univers;Arial" w:hAnsi="Univers;Arial"/>
        </w:rPr>
        <w:t xml:space="preserve">(iv) </w:t>
      </w:r>
      <w:r>
        <w:rPr>
          <w:rFonts w:cs="Univers;Arial" w:ascii="Univers;Arial" w:hAnsi="Univers;Arial"/>
          <w:strike/>
        </w:rPr>
        <w:t>a material misrepresentation by either Party of a representatino of warranty made under Article 21</w:t>
      </w:r>
      <w:r>
        <w:rPr>
          <w:rFonts w:cs="Univers;Arial" w:ascii="Univers;Arial" w:hAnsi="Univers;Arial"/>
        </w:rPr>
        <w:t xml:space="preserve">; </w:t>
      </w:r>
      <w:r>
        <w:rPr>
          <w:rFonts w:cs="Univers;Arial" w:ascii="Univers;Arial" w:hAnsi="Univers;Arial"/>
          <w:b/>
        </w:rPr>
        <w:t>[this type of breach should not give rise to Event of Default Remedies]</w:t>
      </w:r>
      <w:r>
        <w:rPr>
          <w:rFonts w:cs="Univers;Arial" w:ascii="Univers;Arial" w:hAnsi="Univers;Arial"/>
        </w:rPr>
        <w:t xml:space="preserve">; </w:t>
      </w:r>
    </w:p>
    <w:p>
      <w:pPr>
        <w:pStyle w:val="Normal"/>
        <w:tabs>
          <w:tab w:val="left" w:pos="-1440" w:leader="none"/>
          <w:tab w:val="left" w:pos="-720" w:leader="none"/>
          <w:tab w:val="left" w:pos="0" w:leader="none"/>
          <w:tab w:val="left" w:pos="720" w:leader="none"/>
          <w:tab w:val="left" w:pos="1584" w:leader="none"/>
          <w:tab w:val="left" w:pos="2304" w:leader="none"/>
          <w:tab w:val="left" w:pos="3024" w:leader="none"/>
          <w:tab w:val="left" w:pos="3744" w:leader="none"/>
          <w:tab w:val="left" w:pos="4464" w:leader="none"/>
          <w:tab w:val="left" w:pos="5040" w:leader="none"/>
        </w:tabs>
        <w:spacing w:before="0" w:after="120"/>
        <w:ind w:firstLine="864" w:start="720" w:end="0"/>
        <w:rPr>
          <w:rFonts w:ascii="Univers;Arial" w:hAnsi="Univers;Arial" w:cs="Univers;Arial"/>
        </w:rPr>
      </w:pPr>
      <w:r>
        <w:rPr>
          <w:rFonts w:cs="Univers;Arial" w:ascii="Univers;Arial" w:hAnsi="Univers;Arial"/>
        </w:rPr>
        <w:t xml:space="preserve">(v) revocation by any governmental authority of any license, permit  or other governmental approval required for Seller to continue operation of the Plant, with such revocation resulting in Seller’s inability to deliver the Firm Capacity and Associated Energy for one hundred twenty (120) days; </w:t>
      </w:r>
    </w:p>
    <w:p>
      <w:pPr>
        <w:sectPr>
          <w:type w:val="nextPage"/>
          <w:pgSz w:w="12240" w:h="15840"/>
          <w:pgMar w:left="1440" w:right="1440" w:gutter="0" w:header="0" w:top="1440" w:footer="0" w:bottom="1080"/>
          <w:pgNumType w:fmt="decimal"/>
          <w:formProt w:val="false"/>
          <w:textDirection w:val="lrTb"/>
          <w:docGrid w:type="default" w:linePitch="360" w:charSpace="0"/>
        </w:sectPr>
      </w:pPr>
    </w:p>
    <w:p>
      <w:pPr>
        <w:pStyle w:val="Normal"/>
        <w:tabs>
          <w:tab w:val="left" w:pos="-1440" w:leader="none"/>
          <w:tab w:val="left" w:pos="-720" w:leader="none"/>
          <w:tab w:val="left" w:pos="0" w:leader="none"/>
          <w:tab w:val="left" w:pos="720" w:leader="none"/>
          <w:tab w:val="left" w:pos="1584" w:leader="none"/>
          <w:tab w:val="left" w:pos="2304" w:leader="none"/>
          <w:tab w:val="left" w:pos="3024" w:leader="none"/>
          <w:tab w:val="left" w:pos="3744" w:leader="none"/>
          <w:tab w:val="left" w:pos="4464" w:leader="none"/>
          <w:tab w:val="left" w:pos="5040" w:leader="none"/>
        </w:tabs>
        <w:spacing w:before="0" w:after="120"/>
        <w:ind w:firstLine="864" w:start="720" w:end="0"/>
        <w:rPr>
          <w:rFonts w:ascii="Univers;Arial" w:hAnsi="Univers;Arial" w:cs="Univers;Arial"/>
        </w:rPr>
      </w:pPr>
      <w:r>
        <w:rPr>
          <w:rFonts w:cs="Univers;Arial" w:ascii="Univers;Arial" w:hAnsi="Univers;Arial"/>
        </w:rPr>
        <w:t>(vi) issuance of an order by a court of competent jurisdiction appointing a receiver or liquidator or trustee for either Party, or of a substantial part of the assets of either Party, without such receiver or liquidator or trustee being discharged within a period of sixty (60) days; or upon issuance of a decree by a court of competent jurisdiction which adjudicates that a Party is bankrupt or insolvent or a substantial part of the assets of such Party shall have been sequestered, and such decree continues undischarged and unstayed for a period of sixty (60) days after the entry thereof; or upon a filing of a petition by or against a Party to declare bankruptcy or to reorganize a Party pursuant to any of the provisions of the Federal Bankruptcy Code, as it now exists or as it may hereafter be amended, or pursuant to any other similar state statute applicable to such Party, as now or hereafter in effect, and is not dismissed within sixty (60) days after such filing; or</w:t>
      </w:r>
    </w:p>
    <w:p>
      <w:pPr>
        <w:sectPr>
          <w:type w:val="continuous"/>
          <w:pgSz w:w="12240" w:h="15840"/>
          <w:pgMar w:left="1440" w:right="1440" w:gutter="0" w:header="0" w:top="1440" w:footer="0" w:bottom="1080"/>
          <w:formProt w:val="false"/>
          <w:textDirection w:val="lrTb"/>
          <w:docGrid w:type="default" w:linePitch="360" w:charSpace="0"/>
        </w:sectPr>
      </w:pPr>
    </w:p>
    <w:p>
      <w:pPr>
        <w:pStyle w:val="Normal"/>
        <w:tabs>
          <w:tab w:val="left" w:pos="-1440" w:leader="none"/>
          <w:tab w:val="left" w:pos="-720" w:leader="none"/>
          <w:tab w:val="left" w:pos="0" w:leader="none"/>
          <w:tab w:val="left" w:pos="720" w:leader="none"/>
          <w:tab w:val="left" w:pos="1584" w:leader="none"/>
          <w:tab w:val="left" w:pos="2304" w:leader="none"/>
          <w:tab w:val="left" w:pos="3024" w:leader="none"/>
          <w:tab w:val="left" w:pos="3744" w:leader="none"/>
          <w:tab w:val="left" w:pos="4464" w:leader="none"/>
          <w:tab w:val="left" w:pos="5040" w:leader="none"/>
        </w:tabs>
        <w:spacing w:before="0" w:after="120"/>
        <w:ind w:firstLine="864" w:start="720" w:end="0"/>
        <w:rPr>
          <w:rFonts w:ascii="Univers;Arial" w:hAnsi="Univers;Arial" w:cs="Univers;Arial"/>
        </w:rPr>
      </w:pPr>
      <w:r>
        <w:rPr>
          <w:rFonts w:cs="Univers;Arial" w:ascii="Univers;Arial" w:hAnsi="Univers;Arial"/>
        </w:rPr>
        <w:t>(vii) by the filing of a voluntary petition in bankruptcy by either Party under any provision of any federal or state bankruptcy law or the consenting to the filing of any bankruptcy or reorganization petition against such Party under any similar law; or, without limitation of the generality of the foregoing,  a Party’s filing of a petition or answer or consent seeking relief or assisting in seeking relief in a proceeding under any of the provisions of the Federal Bankruptcy Code, as it now exists or as it may hereafter be amended, or pursuant to any other similar state statute applicable to such Party, as now or hereafter in effect, or an answer admitting the material allegations of a petition filed against it in such a proceeding; or the assignment by a Party for the benefit of its creditors; or a Party’s admission in writing of its inability to pay its debts generally as they become due; or a Party’s  consent to the appointment of a receiver or receivers, or trustee or trustees, or liquidator or liquidators of it or of all or a substantial part of its assets.</w:t>
      </w:r>
    </w:p>
    <w:p>
      <w:pPr>
        <w:pStyle w:val="Normal"/>
        <w:tabs>
          <w:tab w:val="left" w:pos="-1440" w:leader="none"/>
          <w:tab w:val="left" w:pos="-720" w:leader="none"/>
          <w:tab w:val="left" w:pos="0" w:leader="none"/>
          <w:tab w:val="left" w:pos="720" w:leader="none"/>
          <w:tab w:val="left" w:pos="1584" w:leader="none"/>
          <w:tab w:val="left" w:pos="2304" w:leader="none"/>
          <w:tab w:val="left" w:pos="3024" w:leader="none"/>
          <w:tab w:val="left" w:pos="3744" w:leader="none"/>
          <w:tab w:val="left" w:pos="4464" w:leader="none"/>
          <w:tab w:val="left" w:pos="5040" w:leader="none"/>
        </w:tabs>
        <w:spacing w:before="0" w:after="120"/>
        <w:ind w:firstLine="720" w:end="0"/>
        <w:rPr/>
      </w:pPr>
      <w:r>
        <w:rPr>
          <w:rFonts w:cs="Univers;Arial" w:ascii="Univers;Arial" w:hAnsi="Univers;Arial"/>
        </w:rPr>
        <w:t>14.2</w:t>
        <w:tab/>
      </w:r>
      <w:r>
        <w:rPr>
          <w:rFonts w:cs="Univers;Arial" w:ascii="Univers;Arial" w:hAnsi="Univers;Arial"/>
          <w:u w:val="single"/>
        </w:rPr>
        <w:t>Notice and Opportunity to Cure Event of Default</w:t>
      </w:r>
      <w:r>
        <w:rPr>
          <w:rFonts w:cs="Univers;Arial" w:ascii="Univers;Arial" w:hAnsi="Univers;Arial"/>
        </w:rPr>
        <w:t xml:space="preserve">.  If either Party claims that an Event of Default has occurred, as defined in Article 14.1, it shall provide the defaulting Party with written notice thereof.  </w:t>
      </w:r>
    </w:p>
    <w:p>
      <w:pPr>
        <w:sectPr>
          <w:type w:val="continuous"/>
          <w:pgSz w:w="12240" w:h="15840"/>
          <w:pgMar w:left="1440" w:right="1440" w:gutter="0" w:header="0" w:top="1440" w:footer="0" w:bottom="1080"/>
          <w:formProt w:val="false"/>
          <w:textDirection w:val="lrTb"/>
          <w:docGrid w:type="default" w:linePitch="360" w:charSpace="0"/>
        </w:sectPr>
      </w:pPr>
    </w:p>
    <w:p>
      <w:pPr>
        <w:pStyle w:val="Normal"/>
        <w:tabs>
          <w:tab w:val="left" w:pos="-1440" w:leader="none"/>
          <w:tab w:val="left" w:pos="-720" w:leader="none"/>
          <w:tab w:val="left" w:pos="0" w:leader="none"/>
          <w:tab w:val="left" w:pos="720" w:leader="none"/>
          <w:tab w:val="left" w:pos="1584" w:leader="none"/>
          <w:tab w:val="left" w:pos="2304" w:leader="none"/>
          <w:tab w:val="left" w:pos="3024" w:leader="none"/>
          <w:tab w:val="left" w:pos="3744" w:leader="none"/>
          <w:tab w:val="left" w:pos="4464" w:leader="none"/>
          <w:tab w:val="left" w:pos="5040" w:leader="none"/>
        </w:tabs>
        <w:spacing w:before="0" w:after="120"/>
        <w:ind w:firstLine="720" w:end="0"/>
        <w:rPr/>
      </w:pPr>
      <w:r>
        <w:rPr>
          <w:rFonts w:cs="Univers;Arial" w:ascii="Univers;Arial" w:hAnsi="Univers;Arial"/>
        </w:rPr>
        <w:t>14.3</w:t>
        <w:tab/>
      </w:r>
      <w:r>
        <w:rPr>
          <w:rFonts w:cs="Univers;Arial" w:ascii="Univers;Arial" w:hAnsi="Univers;Arial"/>
          <w:u w:val="single"/>
        </w:rPr>
        <w:t>Cure by Lender</w:t>
      </w:r>
      <w:r>
        <w:rPr>
          <w:rFonts w:cs="Univers;Arial" w:ascii="Univers;Arial" w:hAnsi="Univers;Arial"/>
        </w:rPr>
        <w:t xml:space="preserve">. </w:t>
      </w:r>
      <w:r>
        <w:rPr>
          <w:rFonts w:cs="Univers;Arial" w:ascii="Univers;Arial" w:hAnsi="Univers;Arial"/>
          <w:b/>
        </w:rPr>
        <w:t>[This clause will have to pass Lenders' scrutiny]</w:t>
      </w:r>
      <w:r>
        <w:rPr>
          <w:rFonts w:cs="Univers;Arial" w:ascii="Univers;Arial" w:hAnsi="Univers;Arial"/>
        </w:rPr>
        <w:t xml:space="preserve"> Buyer shall have no right to terminate this Agreement pursuant to Article 14.2 unless Buyer has provided any Lender notice of the Event of Default.  Any such Lender shall have the same right to cure such Event of Default as Seller, which right shall remain in effect for an additional thirty (30) days after the last day Seller could have cured such Event of Default.  In the case of an Event of Default as specified in Article 14.1(F) or Article 14.1(G), Buyer shall have no right to terminate this Agreement if:  (i) Lender has diligently commenced and is diligently continuing to exercise its remedies under any financing documents and (ii) Lender provides adequate assurance to Buyer that either Seller or an entity designated by Lender with project construction and operations experience equivalent or superior to Seller will assume responsibility for the construction and operation of the Plant for purposes of meeting the terms and conditions of this Agreement.</w:t>
      </w:r>
    </w:p>
    <w:p>
      <w:pPr>
        <w:pStyle w:val="Normal"/>
        <w:tabs>
          <w:tab w:val="left" w:pos="-1440" w:leader="none"/>
          <w:tab w:val="left" w:pos="-720" w:leader="none"/>
          <w:tab w:val="left" w:pos="0" w:leader="none"/>
          <w:tab w:val="left" w:pos="720" w:leader="none"/>
          <w:tab w:val="left" w:pos="1584" w:leader="none"/>
          <w:tab w:val="left" w:pos="2304" w:leader="none"/>
          <w:tab w:val="left" w:pos="3024" w:leader="none"/>
          <w:tab w:val="left" w:pos="3744" w:leader="none"/>
          <w:tab w:val="left" w:pos="4464" w:leader="none"/>
          <w:tab w:val="left" w:pos="5040" w:leader="none"/>
        </w:tabs>
        <w:spacing w:before="0" w:after="120"/>
        <w:ind w:firstLine="720" w:end="0"/>
        <w:rPr/>
      </w:pPr>
      <w:r>
        <w:rPr>
          <w:rFonts w:cs="Univers;Arial" w:ascii="Univers;Arial" w:hAnsi="Univers;Arial"/>
        </w:rPr>
        <w:t>14.4</w:t>
        <w:tab/>
      </w:r>
      <w:r>
        <w:rPr>
          <w:rFonts w:cs="Univers;Arial" w:ascii="Univers;Arial" w:hAnsi="Univers;Arial"/>
          <w:u w:val="single"/>
        </w:rPr>
        <w:t>Dispute of Claim of Event of Default</w:t>
      </w:r>
      <w:r>
        <w:rPr>
          <w:rFonts w:cs="Univers;Arial" w:ascii="Univers;Arial" w:hAnsi="Univers;Arial"/>
        </w:rPr>
        <w:t>. If, within thirty (30) days of the service of notice of an Event of Default pursuant to Article 14.2, such other Party disputes in writing that an Event of Default it has occurred, either Party may seek resolution of such dispute pursuant to the terms of Article 25, and this Agreement shall not be terminated by the Party claiming the occurrence of the Event of Default prior to such resolution</w:t>
      </w:r>
    </w:p>
    <w:p>
      <w:pPr>
        <w:sectPr>
          <w:type w:val="continuous"/>
          <w:pgSz w:w="12240" w:h="15840"/>
          <w:pgMar w:left="1440" w:right="1440" w:gutter="0" w:header="0" w:top="1440" w:footer="0" w:bottom="1080"/>
          <w:formProt w:val="false"/>
          <w:textDirection w:val="lrTb"/>
          <w:docGrid w:type="default" w:linePitch="360" w:charSpace="0"/>
        </w:sectPr>
      </w:pPr>
    </w:p>
    <w:p>
      <w:pPr>
        <w:pStyle w:val="Normal"/>
        <w:tabs>
          <w:tab w:val="left" w:pos="-1440" w:leader="none"/>
          <w:tab w:val="left" w:pos="-720" w:leader="none"/>
          <w:tab w:val="left" w:pos="0" w:leader="none"/>
          <w:tab w:val="left" w:pos="720" w:leader="none"/>
          <w:tab w:val="left" w:pos="1584" w:leader="none"/>
          <w:tab w:val="left" w:pos="2304" w:leader="none"/>
          <w:tab w:val="left" w:pos="3024" w:leader="none"/>
          <w:tab w:val="left" w:pos="3744" w:leader="none"/>
          <w:tab w:val="left" w:pos="4464" w:leader="none"/>
          <w:tab w:val="left" w:pos="5040" w:leader="none"/>
        </w:tabs>
        <w:spacing w:before="0" w:after="120"/>
        <w:ind w:firstLine="720" w:end="0"/>
        <w:rPr/>
      </w:pPr>
      <w:r>
        <w:rPr>
          <w:rFonts w:cs="Univers;Arial" w:ascii="Univers;Arial" w:hAnsi="Univers;Arial"/>
        </w:rPr>
        <w:t>14.5</w:t>
        <w:tab/>
      </w:r>
      <w:r>
        <w:rPr>
          <w:rFonts w:cs="Univers;Arial" w:ascii="Univers;Arial" w:hAnsi="Univers;Arial"/>
          <w:u w:val="single"/>
        </w:rPr>
        <w:t>Remedies</w:t>
      </w:r>
      <w:r>
        <w:rPr>
          <w:rFonts w:cs="Univers;Arial" w:ascii="Univers;Arial" w:hAnsi="Univers;Arial"/>
        </w:rPr>
        <w:t xml:space="preserve">.  </w:t>
      </w:r>
    </w:p>
    <w:p>
      <w:pPr>
        <w:pStyle w:val="Normal"/>
        <w:tabs>
          <w:tab w:val="left" w:pos="-1440" w:leader="none"/>
          <w:tab w:val="left" w:pos="-720" w:leader="none"/>
          <w:tab w:val="left" w:pos="0" w:leader="none"/>
          <w:tab w:val="left" w:pos="720" w:leader="none"/>
          <w:tab w:val="left" w:pos="1584" w:leader="none"/>
          <w:tab w:val="left" w:pos="2304" w:leader="none"/>
          <w:tab w:val="left" w:pos="3024" w:leader="none"/>
          <w:tab w:val="left" w:pos="3744" w:leader="none"/>
          <w:tab w:val="left" w:pos="4464" w:leader="none"/>
          <w:tab w:val="left" w:pos="5040" w:leader="none"/>
        </w:tabs>
        <w:spacing w:before="0" w:after="120"/>
        <w:ind w:firstLine="1584" w:end="0"/>
        <w:rPr/>
      </w:pPr>
      <w:r>
        <w:rPr>
          <w:rFonts w:cs="Univers;Arial" w:ascii="Univers;Arial" w:hAnsi="Univers;Arial"/>
        </w:rPr>
        <w:t xml:space="preserve">14.5.1  Termination. This Agreement may be terminated by the non-defaulting Party where:  (i) there is a failure to cure an Event of Default and the defaulting Party has not sought alternative dispute resolution under Article 25 with respect to the alleged Event of Default; or (ii) through the alternative dispute resolution process under Article 25, it is determined that an Event of Default has occurred and the defaulting Party either fails to cure the Event of Default within the specified time period, does not diligently commence to cure such Event of Default within the designated time period, or fails to diligently continue efforts to cure the Event of Default.  Upon such termination, the non-defaulting Party shall be entitled to such damages as are available at law and equity, </w:t>
      </w:r>
      <w:r>
        <w:rPr>
          <w:rFonts w:cs="Univers;Arial" w:ascii="Univers;Arial" w:hAnsi="Univers;Arial"/>
          <w:b/>
        </w:rPr>
        <w:t>(except that neither Party shall be liable for any punitive, exemplary, treble or consequential damages by reason of an Event of Default under this Agreement)</w:t>
      </w:r>
      <w:r>
        <w:rPr>
          <w:rFonts w:cs="Univers;Arial" w:ascii="Univers;Arial" w:hAnsi="Univers;Arial"/>
        </w:rPr>
        <w:t>.  In the event of a termination for Seller’s default, Buyer shall be entitled to draw upon or seek recourse under any security posted under Articles 5.1 and 5.2, in accordance with the amount of liquidated damages set forth in Appendices B and C respectively.  The termination of this Agreement under this Article 14.4 shall not discharge either Party from any obligations which may have accrued under this Agreement prior to such termination.</w:t>
      </w:r>
    </w:p>
    <w:p>
      <w:pPr>
        <w:pStyle w:val="Normal"/>
        <w:tabs>
          <w:tab w:val="left" w:pos="-1440" w:leader="none"/>
          <w:tab w:val="left" w:pos="-720" w:leader="none"/>
          <w:tab w:val="left" w:pos="0" w:leader="none"/>
          <w:tab w:val="left" w:pos="720" w:leader="none"/>
          <w:tab w:val="left" w:pos="1584" w:leader="none"/>
          <w:tab w:val="left" w:pos="2304" w:leader="none"/>
          <w:tab w:val="left" w:pos="3024" w:leader="none"/>
          <w:tab w:val="left" w:pos="3744" w:leader="none"/>
          <w:tab w:val="left" w:pos="4464" w:leader="none"/>
          <w:tab w:val="left" w:pos="5040" w:leader="none"/>
        </w:tabs>
        <w:spacing w:before="0" w:after="120"/>
        <w:ind w:firstLine="1584" w:end="0"/>
        <w:rPr>
          <w:rFonts w:ascii="Univers;Arial" w:hAnsi="Univers;Arial" w:cs="Univers;Arial"/>
        </w:rPr>
      </w:pPr>
      <w:r>
        <w:rPr>
          <w:rFonts w:cs="Univers;Arial" w:ascii="Univers;Arial" w:hAnsi="Univers;Arial"/>
        </w:rPr>
        <w:t>14.5.2  Cover.</w:t>
      </w:r>
    </w:p>
    <w:p>
      <w:pPr>
        <w:pStyle w:val="Normal"/>
        <w:tabs>
          <w:tab w:val="left" w:pos="-1440" w:leader="none"/>
          <w:tab w:val="left" w:pos="-720" w:leader="none"/>
          <w:tab w:val="left" w:pos="0" w:leader="none"/>
          <w:tab w:val="left" w:pos="720" w:leader="none"/>
          <w:tab w:val="left" w:pos="1584" w:leader="none"/>
          <w:tab w:val="left" w:pos="2304" w:leader="none"/>
          <w:tab w:val="left" w:pos="3024" w:leader="none"/>
          <w:tab w:val="left" w:pos="3744" w:leader="none"/>
          <w:tab w:val="left" w:pos="4464" w:leader="none"/>
          <w:tab w:val="left" w:pos="5040" w:leader="none"/>
        </w:tabs>
        <w:spacing w:before="0" w:after="120"/>
        <w:ind w:firstLine="1584" w:end="0"/>
        <w:rPr/>
      </w:pPr>
      <w:r>
        <w:rPr>
          <w:rFonts w:cs="Univers;Arial" w:ascii="Univers;Arial" w:hAnsi="Univers;Arial"/>
        </w:rPr>
        <w:tab/>
        <w:t xml:space="preserve">(i) </w:t>
      </w:r>
      <w:r>
        <w:rPr>
          <w:rFonts w:cs="Univers;Arial" w:ascii="Univers;Arial" w:hAnsi="Univers;Arial"/>
          <w:u w:val="single"/>
        </w:rPr>
        <w:t>Firm Capacity</w:t>
      </w:r>
      <w:r>
        <w:rPr>
          <w:rFonts w:cs="Univers;Arial" w:ascii="Univers;Arial" w:hAnsi="Univers;Arial"/>
        </w:rPr>
        <w:t xml:space="preserve">.  If Buyer must purchase additional firm capacity as the result of Seller’s failure to make the requested amounts of Firm Capacity pursuant to Article 13 and Appendices E and F, and Seller’s failure was not caused by Force Majeure under Article 18, Seller shall owe the following as damages to Buyer:  the amount for each applicable unit of such deficiency equal to the positive difference, if any, between (a) the price at which the Buyer is, or would be, able to purchase such firm capacity, if commercially reasonable, </w:t>
      </w:r>
      <w:r>
        <w:rPr>
          <w:rFonts w:cs="Univers;Arial" w:ascii="Univers;Arial" w:hAnsi="Univers;Arial"/>
          <w:u w:val="single"/>
        </w:rPr>
        <w:t>minus</w:t>
      </w:r>
      <w:r>
        <w:rPr>
          <w:rFonts w:cs="Univers;Arial" w:ascii="Univers;Arial" w:hAnsi="Univers;Arial"/>
        </w:rPr>
        <w:t xml:space="preserve"> the applicable rate for Firm Capacity under the terms of this Agreement.  Unless otherwise mutually agreed by the Parties, if Buyer does not purchase comparable supplies of firm capacity, then the price at which Buyer shall have been deemed able to have obtained comparable supplies shall be a published market index price in closest geographic proximity to the Delivery Point, concurrent with the period that Seller failed to deliver the requested Firm Capacity.</w:t>
      </w:r>
    </w:p>
    <w:p>
      <w:pPr>
        <w:pStyle w:val="BodyTextIndent2"/>
        <w:spacing w:lineRule="auto" w:line="240" w:before="0" w:after="120"/>
        <w:rPr/>
      </w:pPr>
      <w:r>
        <w:rPr/>
        <w:tab/>
        <w:t xml:space="preserve">(ii) </w:t>
      </w:r>
      <w:r>
        <w:rPr>
          <w:u w:val="single"/>
        </w:rPr>
        <w:t>Associated Energy</w:t>
      </w:r>
      <w:r>
        <w:rPr/>
        <w:t>.  If Buyer must purchase additional energy as the result of Seller’s failure to make the requested amounts of Associated pursuant to Article 13 and Appendices E and F, and Seller’s failure was not caused by Force Majeure under Article 18, Seller shall owe the following as damages to Buyer:  the amount for each applicable unit of such deficiency equal to the positive difference, if any, between (a) the price at which Buyer is, or would be, able to obtain comparable supplies of energy at a commercially reasonable price at the Delivery Point (adjusted to reflect differences in transmission costs, if any to deliver the energy to the Delivery Point) minus (b) the applicable rate for Associated Energy under the terms of this Agreement.  Unless otherwise mutually agreed by the Parties, if Buyer does not purchase comparable supplies of energy, then the rate at which Buyer shall have been deemed able to have obtained comparable supplies shall be a published market index price in closest geographic proximity to the Delivery Point, concurrent with the period that Seller failed to deliver the requested Firm Capacity.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tabs>
        <w:tab w:val="left" w:pos="-1440" w:leader="none"/>
        <w:tab w:val="left" w:pos="-720" w:leader="none"/>
        <w:tab w:val="left" w:pos="0" w:leader="none"/>
        <w:tab w:val="left" w:pos="720" w:leader="none"/>
        <w:tab w:val="left" w:pos="1584" w:leader="none"/>
        <w:tab w:val="left" w:pos="2304" w:leader="none"/>
        <w:tab w:val="left" w:pos="3024" w:leader="none"/>
        <w:tab w:val="left" w:pos="3744" w:leader="none"/>
        <w:tab w:val="left" w:pos="4464" w:leader="none"/>
        <w:tab w:val="left" w:pos="5040" w:leader="none"/>
      </w:tabs>
      <w:spacing w:lineRule="auto" w:line="480"/>
      <w:ind w:firstLine="1584" w:start="0" w:end="0"/>
    </w:pPr>
    <w:rPr>
      <w:rFonts w:ascii="Univers;Arial" w:hAnsi="Univers;Arial" w:cs="Univers;Arial"/>
      <w:sz w:val="24"/>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2000-05-15T17:55:00Z</dcterms:created>
  <dc:creator>Scott A Monson</dc:creator>
  <dc:description/>
  <dc:language>en-CA</dc:language>
  <cp:lastModifiedBy>Scott A Monson</cp:lastModifiedBy>
  <dcterms:modified xsi:type="dcterms:W3CDTF">2000-05-15T19:27:00Z</dcterms:modified>
  <cp:revision>1</cp:revision>
  <dc:subject/>
  <dc:title>ARTICLE 14</dc:title>
</cp:coreProperties>
</file>