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end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b w:val="false"/>
          <w:sz w:val="20"/>
        </w:rPr>
      </w:pPr>
      <w:r>
        <w:rPr>
          <w:b w:val="false"/>
          <w:sz w:val="20"/>
        </w:rPr>
        <w:t>Energy Market &amp; Policy Analysis, Inc.</w:t>
        <w:tab/>
        <w:tab/>
        <w:tab/>
        <w:tab/>
        <w:tab/>
        <w:tab/>
        <w:tab/>
        <w:tab/>
        <w:tab/>
        <w:tab/>
        <w:tab/>
        <w:t>June 26, 2001</w:t>
      </w:r>
    </w:p>
    <w:p>
      <w:pPr>
        <w:pStyle w:val="Heading"/>
        <w:jc w:val="both"/>
        <w:rPr>
          <w:b w:val="false"/>
          <w:sz w:val="20"/>
        </w:rPr>
      </w:pPr>
      <w:r>
        <w:rPr>
          <w:b w:val="false"/>
          <w:sz w:val="20"/>
        </w:rPr>
        <w:t>Reston, VA 20194 (Phone: 703 709-2213)</w:t>
      </w:r>
    </w:p>
    <w:p>
      <w:pPr>
        <w:pStyle w:val="Heading"/>
        <w:rPr>
          <w:b w:val="false"/>
          <w:sz w:val="20"/>
        </w:rPr>
      </w:pPr>
      <w:r>
        <w:rPr>
          <w:b w:val="false"/>
          <w:sz w:val="20"/>
        </w:rPr>
      </w:r>
    </w:p>
    <w:p>
      <w:pPr>
        <w:pStyle w:val="Heading"/>
        <w:rPr/>
      </w:pPr>
      <w:r>
        <w:rPr/>
        <w:t>Generous Californians Are Helping Others Pay Their Energy Bills</w:t>
      </w:r>
    </w:p>
    <w:p>
      <w:pPr>
        <w:pStyle w:val="Normal"/>
        <w:jc w:val="center"/>
        <w:rPr/>
      </w:pPr>
      <w:r>
        <w:rPr/>
      </w:r>
    </w:p>
    <w:p>
      <w:pPr>
        <w:pStyle w:val="BodyText"/>
        <w:spacing w:before="0" w:after="120"/>
        <w:rPr/>
      </w:pPr>
      <w:r>
        <w:rPr/>
        <w:t>Even though they are facing enormous electricity and natural gas bills, the generous taxpayers from California are contributing millions to help people in other states pay their energy bills.</w:t>
      </w:r>
    </w:p>
    <w:p>
      <w:pPr>
        <w:pStyle w:val="Normal"/>
        <w:spacing w:before="0" w:after="120"/>
        <w:jc w:val="both"/>
        <w:rPr/>
      </w:pPr>
      <w:r>
        <w:rPr/>
        <w:t>However, Californians probably are not aware that they are being so generous and their representatives in the US Congress are unlikely to tell them about it.</w:t>
      </w:r>
    </w:p>
    <w:p>
      <w:pPr>
        <w:pStyle w:val="Normal"/>
        <w:spacing w:before="0" w:after="120"/>
        <w:jc w:val="both"/>
        <w:rPr/>
      </w:pPr>
      <w:r>
        <w:rPr/>
        <w:t xml:space="preserve">How does this “generosity” come about?  It’s the legacy of an anachronistic law pushed through Congress in the early 1980s, to use tax dollars to help people pay heating oil bills, principally those in northeastern and north central states.  The program is called the “Low Income Home Energy Assistance Program,” or LIHEAP. </w:t>
      </w:r>
    </w:p>
    <w:p>
      <w:pPr>
        <w:pStyle w:val="Normal"/>
        <w:spacing w:before="0" w:after="120"/>
        <w:jc w:val="both"/>
        <w:rPr/>
      </w:pPr>
      <w:r>
        <w:rPr/>
        <w:t>LIHEAP funds (at least $1.7 billion and possibly $2 billion in 2001) are spread among states according to an old formula developed in the 1980s.  The formula favors people in certain states that tend to be heavily dependent on oil for heating.  The formula hasn’t been changed even though the burden of heavy energy bills has changed.  Many in warm states have just as much difficulty paying air conditioning bills as those in cold states have paying heating bills.</w:t>
      </w:r>
    </w:p>
    <w:p>
      <w:pPr>
        <w:pStyle w:val="Normal"/>
        <w:spacing w:before="0" w:after="120"/>
        <w:jc w:val="both"/>
        <w:rPr/>
      </w:pPr>
      <w:r>
        <w:rPr/>
        <w:t>Californians are now burdened with high gas and electricity bills.  True, the high bills are due largely to the fact that facilities were not built in California to generate enough electricity or deliver enough natural gas. Nevertheless, because of LIHEAP, Californians and others with high energy bills are seeing their tax dollars flow to states with lower energy bills.</w:t>
      </w:r>
    </w:p>
    <w:p>
      <w:pPr>
        <w:pStyle w:val="Normal"/>
        <w:spacing w:before="0" w:after="120"/>
        <w:jc w:val="both"/>
        <w:rPr/>
      </w:pPr>
      <w:r>
        <w:rPr>
          <w:b/>
        </w:rPr>
        <w:t>“</w:t>
      </w:r>
      <w:r>
        <w:rPr>
          <w:b/>
        </w:rPr>
        <w:t>Losers” and “Winners.”</w:t>
      </w:r>
      <w:r>
        <w:rPr/>
        <w:t xml:space="preserve">  The money distributed by the federal government via LIHEAP comes principally from income tax revenues.  So, when the federal government distributes tax dollars some states are “winners” because their share of LIHEAP funds is larger than the state’s share of federal income taxes.   Other states are “losers” because their share of LIHEAP funds is less than the percentage share of federal income tax.  In the case of LIHEAP, the principal “loser” states and “winner” states with 2001 amounts are shown below.  (Estimates assume 2001 LIHEAP spending is only $1.7 Billion.  Disparities will be greater if spending is $2 billion.)</w:t>
      </w:r>
    </w:p>
    <w:p>
      <w:pPr>
        <w:pStyle w:val="Normal"/>
        <w:ind w:firstLine="432" w:end="0"/>
        <w:jc w:val="both"/>
        <w:rPr/>
      </w:pPr>
      <w:r>
        <w:rPr/>
        <w:tab/>
      </w:r>
      <w:r>
        <w:rPr>
          <w:sz w:val="22"/>
          <w:u w:val="single"/>
        </w:rPr>
        <w:t xml:space="preserve">           “Losers”                            </w:t>
      </w:r>
      <w:r>
        <w:rPr>
          <w:sz w:val="22"/>
        </w:rPr>
        <w:tab/>
        <w:tab/>
        <w:tab/>
      </w:r>
      <w:r>
        <w:rPr>
          <w:sz w:val="22"/>
          <w:u w:val="single"/>
        </w:rPr>
        <w:t xml:space="preserve">               “Winners”                     .                                                       </w:t>
      </w:r>
    </w:p>
    <w:p>
      <w:pPr>
        <w:pStyle w:val="Normal"/>
        <w:ind w:firstLine="432" w:end="0"/>
        <w:jc w:val="both"/>
        <w:rPr/>
      </w:pPr>
      <w:r>
        <w:rPr>
          <w:sz w:val="22"/>
        </w:rPr>
        <w:tab/>
      </w:r>
      <w:r>
        <w:rPr>
          <w:sz w:val="22"/>
          <w:u w:val="single"/>
        </w:rPr>
        <w:t>State</w:t>
        <w:tab/>
      </w:r>
      <w:r>
        <w:rPr>
          <w:sz w:val="22"/>
        </w:rPr>
        <w:tab/>
        <w:tab/>
      </w:r>
      <w:r>
        <w:rPr>
          <w:sz w:val="22"/>
          <w:u w:val="single"/>
        </w:rPr>
        <w:t xml:space="preserve">Amount  Lost </w:t>
      </w:r>
      <w:r>
        <w:rPr>
          <w:sz w:val="22"/>
        </w:rPr>
        <w:tab/>
        <w:tab/>
        <w:tab/>
      </w:r>
      <w:r>
        <w:rPr>
          <w:sz w:val="22"/>
          <w:u w:val="single"/>
        </w:rPr>
        <w:t>State</w:t>
        <w:tab/>
      </w:r>
      <w:r>
        <w:rPr>
          <w:sz w:val="22"/>
        </w:rPr>
        <w:tab/>
        <w:tab/>
      </w:r>
      <w:r>
        <w:rPr>
          <w:sz w:val="22"/>
          <w:u w:val="single"/>
        </w:rPr>
        <w:t xml:space="preserve">Amount Gained </w:t>
      </w:r>
    </w:p>
    <w:p>
      <w:pPr>
        <w:pStyle w:val="Normal"/>
        <w:ind w:firstLine="432" w:end="0"/>
        <w:jc w:val="both"/>
        <w:rPr>
          <w:sz w:val="22"/>
        </w:rPr>
      </w:pPr>
      <w:r>
        <w:rPr>
          <w:sz w:val="22"/>
        </w:rPr>
        <w:tab/>
        <w:t>California</w:t>
        <w:tab/>
        <w:tab/>
        <w:t>$137.8 million</w:t>
        <w:tab/>
        <w:tab/>
        <w:tab/>
        <w:t>New York</w:t>
        <w:tab/>
        <w:tab/>
        <w:t>$74.4 million</w:t>
      </w:r>
    </w:p>
    <w:p>
      <w:pPr>
        <w:pStyle w:val="Normal"/>
        <w:ind w:firstLine="432" w:end="0"/>
        <w:jc w:val="both"/>
        <w:rPr>
          <w:sz w:val="22"/>
        </w:rPr>
      </w:pPr>
      <w:r>
        <w:rPr>
          <w:sz w:val="22"/>
        </w:rPr>
        <w:tab/>
        <w:t>Texas</w:t>
        <w:tab/>
        <w:tab/>
        <w:tab/>
        <w:t xml:space="preserve">    80.9 million</w:t>
        <w:tab/>
        <w:tab/>
        <w:tab/>
        <w:t>Pennsylvania</w:t>
        <w:tab/>
        <w:tab/>
        <w:t xml:space="preserve">  43.3 million</w:t>
      </w:r>
    </w:p>
    <w:p>
      <w:pPr>
        <w:pStyle w:val="Normal"/>
        <w:ind w:firstLine="432" w:start="432" w:end="0"/>
        <w:jc w:val="both"/>
        <w:rPr>
          <w:sz w:val="22"/>
        </w:rPr>
      </w:pPr>
      <w:r>
        <w:rPr>
          <w:sz w:val="22"/>
        </w:rPr>
        <w:t>Florida</w:t>
        <w:tab/>
        <w:tab/>
        <w:tab/>
        <w:t xml:space="preserve">    77.2 million</w:t>
        <w:tab/>
        <w:tab/>
        <w:tab/>
        <w:t>Minnesota</w:t>
        <w:tab/>
        <w:tab/>
        <w:t xml:space="preserve">  36.0 million</w:t>
      </w:r>
    </w:p>
    <w:p>
      <w:pPr>
        <w:pStyle w:val="Normal"/>
        <w:ind w:start="432" w:end="0"/>
        <w:jc w:val="both"/>
        <w:rPr>
          <w:sz w:val="22"/>
        </w:rPr>
      </w:pPr>
      <w:r>
        <w:rPr>
          <w:sz w:val="22"/>
        </w:rPr>
        <w:tab/>
        <w:t>Georgia</w:t>
        <w:tab/>
        <w:tab/>
        <w:tab/>
        <w:t xml:space="preserve">    25.8 million</w:t>
        <w:tab/>
        <w:tab/>
        <w:tab/>
        <w:t>Michigan</w:t>
        <w:tab/>
        <w:tab/>
        <w:tab/>
        <w:t xml:space="preserve">  32.0 million</w:t>
      </w:r>
    </w:p>
    <w:p>
      <w:pPr>
        <w:pStyle w:val="Normal"/>
        <w:spacing w:before="0" w:after="120"/>
        <w:jc w:val="both"/>
        <w:rPr>
          <w:sz w:val="22"/>
        </w:rPr>
      </w:pPr>
      <w:r>
        <w:rPr>
          <w:sz w:val="22"/>
        </w:rPr>
        <w:tab/>
        <w:tab/>
        <w:t>Arizona</w:t>
        <w:tab/>
        <w:tab/>
        <w:tab/>
        <w:t xml:space="preserve">    18.1 million</w:t>
        <w:tab/>
        <w:tab/>
        <w:tab/>
        <w:t>Wisconsin</w:t>
        <w:tab/>
        <w:tab/>
        <w:t xml:space="preserve">  30.7 million</w:t>
      </w:r>
    </w:p>
    <w:p>
      <w:pPr>
        <w:pStyle w:val="Normal"/>
        <w:jc w:val="both"/>
        <w:rPr/>
      </w:pPr>
      <w:r>
        <w:rPr/>
        <w:t>Other “winners” include Ohio, Iowa, Maine, and Massachusetts (see Attachment for details).</w:t>
      </w:r>
    </w:p>
    <w:p>
      <w:pPr>
        <w:pStyle w:val="Normal"/>
        <w:jc w:val="both"/>
        <w:rPr/>
      </w:pPr>
      <w:r>
        <w:rPr/>
      </w:r>
    </w:p>
    <w:p>
      <w:pPr>
        <w:pStyle w:val="Normal"/>
        <w:spacing w:before="0" w:after="120"/>
        <w:jc w:val="both"/>
        <w:rPr/>
      </w:pPr>
      <w:r>
        <w:rPr>
          <w:b/>
        </w:rPr>
        <w:t xml:space="preserve">Will the program or the unfair formula be changed?  Not likely!  </w:t>
      </w:r>
      <w:r>
        <w:rPr/>
        <w:t>The LIHEAP program is unlikely to be changed because, like many federal programs, it has attracted a very strong constituency that lobbies furiously to preserve the program and increase appropriations.  For reasons explained below, the constituency for the program now includes the state and local government people that distribute LIHEAP funds, lobbying groups formed by those people, electric and gas utilities and their Washington-based trade associations, state public utility commissioners and their Washington-based association.</w:t>
      </w:r>
    </w:p>
    <w:p>
      <w:pPr>
        <w:pStyle w:val="BodyText"/>
        <w:spacing w:before="0" w:after="120"/>
        <w:rPr/>
      </w:pPr>
      <w:r>
        <w:rPr/>
        <w:t>Presidents, members or Congress, governors and state legislators use the program as their first line of defense when electricity, natural gas and heating oil bills rise.  They even use LIHEAP when faulty government policies or actions (including failure to allow construction of adequate facilities to find, produce, transport and convert energy) are the principal cause of higher consumer prices.  Besides, it’s only tax money and who’s counting?</w:t>
      </w:r>
    </w:p>
    <w:p>
      <w:pPr>
        <w:pStyle w:val="Normal"/>
        <w:spacing w:before="0" w:after="120"/>
        <w:jc w:val="both"/>
        <w:rPr/>
      </w:pPr>
      <w:r>
        <w:rPr>
          <w:b/>
        </w:rPr>
        <w:t xml:space="preserve">LIHEAP Dollars that End up In State Treasuries.  </w:t>
      </w:r>
      <w:r>
        <w:rPr/>
        <w:t>While LIHEAP money is intended to help low income people pay their energy bills, some of it ends up in state and local governments coffers.  Virtually every state and some local governments impose a tax on electric and gas bills.  The taxes are simply added to monthly bills (often, probably, with the hope that they won’t be noticed!)  Thus, electric and gas utilities have become “revenue collectors.” They collect the money from their customers and pass it along to the state or city treasurer.</w:t>
      </w:r>
    </w:p>
    <w:p>
      <w:pPr>
        <w:pStyle w:val="BodyText"/>
        <w:spacing w:before="0" w:after="120"/>
        <w:rPr/>
      </w:pPr>
      <w:r>
        <w:rPr/>
        <w:t>Thus, LIHEAP money follows an interesting path.  First, it is “contributed” by federal taxpayers via income taxes.  It flows to Washington where generous political leaders send it to an office in the Department of Health and Human Services which hands it off to state governments (and Indian tribes) who distribute it via state and local “energy offices” or organizations such as the Salvation Army.  It then flows to individuals who use it to pay electricity or natural gas utilities or heating oil distributors, who hand part of the money to state and/or city treasurers.  And, of course, a little of the money “falls off” along the way.  For example, states are permitted to use up to 10% of the funds to “administer” the program.</w:t>
      </w:r>
    </w:p>
    <w:p>
      <w:pPr>
        <w:pStyle w:val="Normal"/>
        <w:spacing w:before="0" w:after="120"/>
        <w:jc w:val="both"/>
        <w:rPr/>
      </w:pPr>
      <w:r>
        <w:rPr>
          <w:b/>
        </w:rPr>
        <w:t xml:space="preserve">High monthly gas and electric bills often produce </w:t>
      </w:r>
      <w:r>
        <w:rPr>
          <w:b/>
          <w:i/>
        </w:rPr>
        <w:t>windfall</w:t>
      </w:r>
      <w:r>
        <w:rPr>
          <w:b/>
        </w:rPr>
        <w:t xml:space="preserve"> revenues for State Treasuries.  </w:t>
      </w:r>
      <w:r>
        <w:rPr/>
        <w:t>Also interesting: At least 28 states (and/or cities within those states) set utility taxes on the basis of a percentage of the electric or gas bill, often as a “gross receipts tax.”</w:t>
      </w:r>
      <w:r>
        <w:rPr>
          <w:rStyle w:val="EndnoteCharacters"/>
          <w:rStyle w:val="EndnoteReference"/>
        </w:rPr>
        <w:endnoteReference w:id="2"/>
      </w:r>
      <w:r>
        <w:rPr/>
        <w:t xml:space="preserve">  Therefore, tax revenues rise along with increases in gas and/or electric bills.  During the past year, consumers in many states have faced higher monthly gas and electric bills because they had to use more energy because of cold winters or hot summers, and because the unit cost of energy was also higher.  As a result, many states have enjoyed a tax revenue windfall.</w:t>
      </w:r>
    </w:p>
    <w:p>
      <w:pPr>
        <w:pStyle w:val="BodyText"/>
        <w:spacing w:before="0" w:after="120"/>
        <w:rPr/>
      </w:pPr>
      <w:r>
        <w:rPr>
          <w:b/>
        </w:rPr>
        <w:t xml:space="preserve">The Interest Groups and Why they are Interested.   </w:t>
      </w:r>
      <w:r>
        <w:rPr/>
        <w:t>The army of special interest groups that is likely to prevent any reform of LIHEAP include, but are not limited to the following:</w:t>
      </w:r>
    </w:p>
    <w:p>
      <w:pPr>
        <w:pStyle w:val="Normal"/>
        <w:numPr>
          <w:ilvl w:val="0"/>
          <w:numId w:val="4"/>
        </w:numPr>
        <w:tabs>
          <w:tab w:val="left" w:pos="432" w:leader="none"/>
        </w:tabs>
        <w:spacing w:before="0" w:after="120"/>
        <w:ind w:hanging="432" w:start="432" w:end="0"/>
        <w:jc w:val="both"/>
        <w:rPr/>
      </w:pPr>
      <w:r>
        <w:rPr/>
        <w:t>National and state associations made up of people whose principal function is distributing LIHEAP funds, such as the National Energy Assistance Directors Association,  National Fuel Funds Network and the National Community Action Foundation.  Many states have an organization that distributes LIHEAP funds that is separate from other welfare programs.</w:t>
      </w:r>
    </w:p>
    <w:p>
      <w:pPr>
        <w:pStyle w:val="Normal"/>
        <w:numPr>
          <w:ilvl w:val="0"/>
          <w:numId w:val="7"/>
        </w:numPr>
        <w:tabs>
          <w:tab w:val="clear" w:pos="432"/>
          <w:tab w:val="left" w:pos="492" w:leader="none"/>
        </w:tabs>
        <w:spacing w:before="0" w:after="120"/>
        <w:ind w:hanging="432" w:start="490" w:end="0"/>
        <w:jc w:val="both"/>
        <w:rPr/>
      </w:pPr>
      <w:r>
        <w:rPr>
          <w:i/>
        </w:rPr>
        <w:t>State public utility commissioners (PUCs) who regulate electric and gas utilities.</w:t>
      </w:r>
      <w:r>
        <w:rPr/>
        <w:t xml:space="preserve">  Most PUCs have rules that limit the ability of utilities to cut off electricity or natural gas even when customers don’t pay their bills.  (The rules have a humanitarian purpose, but they leave utilities with unpaid and “uncollectable” electric and gas bills.  Of course, the PUCs avoid the media coverage and “political heat” that would result if utilities shut off electricity or gas for people who didn’t pay bills when the weather is unusually hot or cold.)</w:t>
      </w:r>
    </w:p>
    <w:p>
      <w:pPr>
        <w:pStyle w:val="Normal"/>
        <w:numPr>
          <w:ilvl w:val="0"/>
          <w:numId w:val="7"/>
        </w:numPr>
        <w:tabs>
          <w:tab w:val="clear" w:pos="432"/>
          <w:tab w:val="left" w:pos="434" w:leader="none"/>
        </w:tabs>
        <w:spacing w:before="0" w:after="120"/>
        <w:jc w:val="both"/>
        <w:rPr/>
      </w:pPr>
      <w:r>
        <w:rPr>
          <w:i/>
        </w:rPr>
        <w:t>National Association of Regulatory Utility Commissioners (NARUC).</w:t>
      </w:r>
      <w:r>
        <w:rPr/>
        <w:t xml:space="preserve">  The Washington-based association that represents state public utility commissioners.</w:t>
      </w:r>
    </w:p>
    <w:p>
      <w:pPr>
        <w:pStyle w:val="Normal"/>
        <w:numPr>
          <w:ilvl w:val="0"/>
          <w:numId w:val="7"/>
        </w:numPr>
        <w:tabs>
          <w:tab w:val="clear" w:pos="432"/>
          <w:tab w:val="left" w:pos="492" w:leader="none"/>
        </w:tabs>
        <w:ind w:hanging="432" w:start="490" w:end="0"/>
        <w:jc w:val="both"/>
        <w:rPr/>
      </w:pPr>
      <w:r>
        <w:rPr>
          <w:i/>
        </w:rPr>
        <w:t>Electric and gas utilities.</w:t>
      </w:r>
      <w:r>
        <w:rPr/>
        <w:t xml:space="preserve">  Utilities are faced with unpaid bills (often due to PUC rules prohibiting service interruption).  When bills are unpaid, utilities have three choices:</w:t>
      </w:r>
    </w:p>
    <w:p>
      <w:pPr>
        <w:pStyle w:val="Normal"/>
        <w:numPr>
          <w:ilvl w:val="0"/>
          <w:numId w:val="7"/>
        </w:numPr>
        <w:tabs>
          <w:tab w:val="clear" w:pos="432"/>
          <w:tab w:val="left" w:pos="924" w:leader="none"/>
        </w:tabs>
        <w:ind w:hanging="432" w:start="924" w:end="0"/>
        <w:jc w:val="both"/>
        <w:rPr/>
      </w:pPr>
      <w:r>
        <w:rPr/>
        <w:t>Work to collect bills from delinquent customers, which is hard, unpopular work.</w:t>
      </w:r>
    </w:p>
    <w:p>
      <w:pPr>
        <w:pStyle w:val="Normal"/>
        <w:numPr>
          <w:ilvl w:val="0"/>
          <w:numId w:val="7"/>
        </w:numPr>
        <w:tabs>
          <w:tab w:val="clear" w:pos="432"/>
          <w:tab w:val="left" w:pos="924" w:leader="none"/>
        </w:tabs>
        <w:ind w:hanging="432" w:start="922" w:end="0"/>
        <w:jc w:val="both"/>
        <w:rPr/>
      </w:pPr>
      <w:r>
        <w:rPr/>
        <w:t>Spread the cost of “uncollectables” to unsuspecting customers who pay their bills.</w:t>
      </w:r>
    </w:p>
    <w:p>
      <w:pPr>
        <w:pStyle w:val="Normal"/>
        <w:numPr>
          <w:ilvl w:val="0"/>
          <w:numId w:val="7"/>
        </w:numPr>
        <w:tabs>
          <w:tab w:val="clear" w:pos="432"/>
          <w:tab w:val="left" w:pos="924" w:leader="none"/>
        </w:tabs>
        <w:spacing w:before="0" w:after="120"/>
        <w:ind w:hanging="432" w:start="922" w:end="0"/>
        <w:jc w:val="both"/>
        <w:rPr/>
      </w:pPr>
      <w:r>
        <w:rPr/>
        <w:t>Shift costs to taxpayers by encouraging delinquent customers to get LIHEAP grants and use the money to pay their utility bills.</w:t>
      </w:r>
    </w:p>
    <w:p>
      <w:pPr>
        <w:pStyle w:val="Normal"/>
        <w:numPr>
          <w:ilvl w:val="0"/>
          <w:numId w:val="6"/>
        </w:numPr>
        <w:spacing w:before="0" w:after="120"/>
        <w:jc w:val="both"/>
        <w:rPr/>
      </w:pPr>
      <w:r>
        <w:rPr>
          <w:i/>
        </w:rPr>
        <w:t xml:space="preserve">Washington-based trade associations representing electric and gas utilities. </w:t>
      </w:r>
      <w:r>
        <w:rPr/>
        <w:t xml:space="preserve">  These include the American Gas Association, Edison Electric Institute, National Rural Electric Cooperative Association, and American Public Power Association.  Their lobbyists work to keep tax dollars flowing via LIHEAP even though customers of member utilities who pay their own bills end up paying for LIHEAP grants via their federal tax bills.</w:t>
      </w:r>
    </w:p>
    <w:p>
      <w:pPr>
        <w:pStyle w:val="Normal"/>
        <w:numPr>
          <w:ilvl w:val="0"/>
          <w:numId w:val="3"/>
        </w:numPr>
        <w:spacing w:before="0" w:after="120"/>
        <w:jc w:val="both"/>
        <w:rPr/>
      </w:pPr>
      <w:r>
        <w:rPr/>
        <w:t>Washington lobbyists representing organizations such as the Salvation Army that distributes LIHEAP funds.</w:t>
      </w:r>
    </w:p>
    <w:p>
      <w:pPr>
        <w:pStyle w:val="Normal"/>
        <w:numPr>
          <w:ilvl w:val="0"/>
          <w:numId w:val="5"/>
        </w:numPr>
        <w:spacing w:before="0" w:after="120"/>
        <w:rPr/>
      </w:pPr>
      <w:r>
        <w:rPr/>
        <w:t xml:space="preserve">The Campaign for Home Energy Assistance, a Washington based LIHEAP lobbying coordinator. </w:t>
      </w:r>
    </w:p>
    <w:p>
      <w:pPr>
        <w:pStyle w:val="Normal"/>
        <w:jc w:val="both"/>
        <w:rPr/>
      </w:pPr>
      <w:r>
        <w:rPr>
          <w:b/>
        </w:rPr>
        <w:t xml:space="preserve">What could be done to change the anachronistic LIHEAP program? </w:t>
      </w:r>
      <w:r>
        <w:rPr/>
        <w:t xml:space="preserve"> Neither the President nor members of Congress are likely to try reforming LIHEAP program because of a fear that the army of lobbying groups that have sprung up around LIHEAP will charge them with “abandoning the poor.”  Such demagoguery works.  However, if a courageous politician emerges, there are several things that could be tried:</w:t>
      </w:r>
    </w:p>
    <w:p>
      <w:pPr>
        <w:pStyle w:val="Normal"/>
        <w:numPr>
          <w:ilvl w:val="0"/>
          <w:numId w:val="2"/>
        </w:numPr>
        <w:jc w:val="both"/>
        <w:rPr/>
      </w:pPr>
      <w:r>
        <w:rPr/>
        <w:t>Change the formula to remove the gross disparities among states in the distribution of funds.</w:t>
      </w:r>
    </w:p>
    <w:p>
      <w:pPr>
        <w:pStyle w:val="Normal"/>
        <w:numPr>
          <w:ilvl w:val="0"/>
          <w:numId w:val="2"/>
        </w:numPr>
        <w:jc w:val="both"/>
        <w:rPr/>
      </w:pPr>
      <w:r>
        <w:rPr/>
        <w:t>Insist that states incorporate LIHEAP administration with other welfare programs and do away with the separate LIHEAP bureaucracies and their Washington lobbyists.</w:t>
      </w:r>
    </w:p>
    <w:p>
      <w:pPr>
        <w:pStyle w:val="Normal"/>
        <w:numPr>
          <w:ilvl w:val="0"/>
          <w:numId w:val="2"/>
        </w:numPr>
        <w:jc w:val="both"/>
        <w:rPr/>
      </w:pPr>
      <w:r>
        <w:rPr/>
        <w:t>Provide in law for automatic reductions in funding levels when real energy prices drop below current levels.</w:t>
      </w:r>
    </w:p>
    <w:p>
      <w:pPr>
        <w:pStyle w:val="Normal"/>
        <w:numPr>
          <w:ilvl w:val="0"/>
          <w:numId w:val="2"/>
        </w:numPr>
        <w:jc w:val="both"/>
        <w:rPr/>
      </w:pPr>
      <w:r>
        <w:rPr/>
        <w:t>Restrict access to funds by states where PUCs are too generous with rules that prevent utilities from curtailing service when bills are unpaid.</w:t>
      </w:r>
    </w:p>
    <w:p>
      <w:pPr>
        <w:pStyle w:val="Normal"/>
        <w:numPr>
          <w:ilvl w:val="0"/>
          <w:numId w:val="2"/>
        </w:numPr>
        <w:jc w:val="both"/>
        <w:rPr/>
      </w:pPr>
      <w:r>
        <w:rPr/>
        <w:t>Restrict access to funds by utilities that have a record of relying excessively on LIHEAP rather than making a reasonable effort to assure that customers pay their own bills.</w:t>
      </w:r>
    </w:p>
    <w:p>
      <w:pPr>
        <w:pStyle w:val="Normal"/>
        <w:jc w:val="both"/>
        <w:rPr/>
      </w:pPr>
      <w:r>
        <w:rPr/>
      </w:r>
    </w:p>
    <w:p>
      <w:pPr>
        <w:pStyle w:val="Normal"/>
        <w:spacing w:before="0" w:after="120"/>
        <w:jc w:val="both"/>
        <w:rPr/>
      </w:pPr>
      <w:r>
        <w:rPr>
          <w:b/>
        </w:rPr>
        <w:t>Who are the biggest losers?</w:t>
      </w:r>
      <w:r>
        <w:rPr/>
        <w:t xml:space="preserve">  The biggest losers are the people who pay their taxes and their monthly energy bills.  They are not only paying their own way.  They are paying a share of the of the bills incurred by people who don’t pay (i.e., the “uncollectables.”)</w:t>
      </w:r>
      <w:r>
        <w:rPr>
          <w:rStyle w:val="EndnoteCharacters"/>
          <w:rStyle w:val="EndnoteReference"/>
        </w:rPr>
        <w:endnoteReference w:id="3"/>
      </w:r>
      <w:r>
        <w:rPr/>
        <w:t xml:space="preserve">  The also pay for LIHEAP grants via their tax bills.  </w:t>
      </w:r>
      <w:r>
        <w:rPr>
          <w:i/>
        </w:rPr>
        <w:t>As it now stands, LIHEAP provides clear evidence that the “interest groups” least well represented in the Congress are taxpayers and consumers who pay their bills.</w:t>
      </w:r>
    </w:p>
    <w:p>
      <w:pPr>
        <w:pStyle w:val="Normal"/>
        <w:jc w:val="both"/>
        <w:rPr/>
      </w:pPr>
      <w:r>
        <w:rPr/>
        <w:t xml:space="preserve"> </w:t>
      </w:r>
      <w:r>
        <w:rPr/>
        <w:t>Attachment:  Table showing shares of LIHEAP funds paid by and received by each state.</w:t>
      </w:r>
    </w:p>
    <w:sectPr>
      <w:headerReference w:type="default" r:id="rId2"/>
      <w:headerReference w:type="first" r:id="rId3"/>
      <w:endnotePr>
        <w:pos w:val="sectEnd"/>
        <w:numFmt w:val="decimal"/>
      </w:endnotePr>
      <w:type w:val="nextPage"/>
      <w:pgSz w:w="12240" w:h="15840"/>
      <w:pgMar w:left="1530" w:right="1350" w:gutter="0" w:header="720" w:top="1440" w:footer="0" w:bottom="1440"/>
      <w:pgNumType w:fmt="decimal"/>
      <w:formProt w:val="false"/>
      <w:titlePg/>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pPr>
      <w:r>
        <w:rPr>
          <w:rStyle w:val="EndnoteCharacters"/>
        </w:rPr>
        <w:endnoteRef/>
      </w:r>
      <w:r>
        <w:rPr/>
        <w:t xml:space="preserve"> </w:t>
      </w:r>
      <w:r>
        <w:rPr/>
        <w:t xml:space="preserve">Among the states identified thus far where either the state or a city within the state applies a percentage or per unit of energy tax are the following: AL, AR, AZ, CA, FL, GA, IL, IN, KY, LA, MD, MI, MN, MO, NC, NE, NJ, NM, NY, OH, OK, OR, RI, TN, TX, WA, WI.  Edison Electric Institute, </w:t>
      </w:r>
      <w:r>
        <w:rPr>
          <w:i/>
        </w:rPr>
        <w:t>Electric Rates in Major US Cities</w:t>
      </w:r>
    </w:p>
  </w:endnote>
  <w:endnote w:id="3">
    <w:p>
      <w:pPr>
        <w:pStyle w:val="EndnoteText"/>
        <w:pBdr>
          <w:bottom w:val="single" w:sz="12" w:space="1" w:color="000000"/>
        </w:pBdr>
        <w:rPr/>
      </w:pPr>
      <w:r>
        <w:rPr>
          <w:rStyle w:val="EndnoteCharacters"/>
        </w:rPr>
        <w:endnoteRef/>
      </w:r>
      <w:r>
        <w:rPr/>
        <w:t xml:space="preserve"> </w:t>
      </w:r>
      <w:r>
        <w:rPr/>
        <w:t>Regulated utilities are reimbursed for all their costs, including the cost of serving customers that don’t pay their bills.  These costs are merely spread among the paying customers.</w:t>
      </w:r>
    </w:p>
    <w:p>
      <w:pPr>
        <w:pStyle w:val="EndnoteText"/>
        <w:jc w:val="center"/>
        <w:rPr/>
      </w:pPr>
      <w:r>
        <w:rPr/>
        <w:t xml:space="preserve">The above information is provided as a self-financed public service by Glenn R Schleede, Energy Market &amp; Policy Analysis, Inc. Reston, VA 20195-1875; phone 703 709-2213; Fax: 703 709-2214; Email:  </w:t>
      </w:r>
      <w:hyperlink r:id="rId1">
        <w:r>
          <w:rPr>
            <w:rStyle w:val="Hyperlink"/>
          </w:rPr>
          <w:t>EMPAInc@aol.com</w:t>
        </w:r>
      </w:hyperlink>
      <w:r>
        <w:rPr>
          <w:sz w:val="14"/>
        </w:rPr>
        <w:t xml:space="preserve"> </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435"/>
        </w:tabs>
        <w:ind w:start="435" w:hanging="435"/>
      </w:pPr>
      <w:rPr/>
    </w:lvl>
  </w:abstractNum>
  <w:abstractNum w:abstractNumId="3">
    <w:lvl w:ilvl="0">
      <w:start w:val="1"/>
      <w:numFmt w:val="bullet"/>
      <w:lvlText w:val=""/>
      <w:lvlJc w:val="start"/>
      <w:pPr>
        <w:tabs>
          <w:tab w:val="num" w:pos="432"/>
        </w:tabs>
        <w:ind w:start="432" w:hanging="432"/>
      </w:pPr>
      <w:rPr>
        <w:rFonts w:ascii="Symbol" w:hAnsi="Symbol" w:cs="Symbol" w:hint="default"/>
      </w:rPr>
    </w:lvl>
  </w:abstractNum>
  <w:abstractNum w:abstractNumId="4">
    <w:lvl w:ilvl="0">
      <w:start w:val="1"/>
      <w:numFmt w:val="bullet"/>
      <w:lvlText w:val=""/>
      <w:lvlJc w:val="start"/>
      <w:pPr>
        <w:tabs>
          <w:tab w:val="num" w:pos="1296"/>
        </w:tabs>
        <w:ind w:start="1296" w:hanging="432"/>
      </w:pPr>
      <w:rPr>
        <w:rFonts w:ascii="Symbol" w:hAnsi="Symbol" w:cs="Symbol" w:hint="default"/>
      </w:rPr>
    </w:lvl>
  </w:abstractNum>
  <w:abstractNum w:abstractNumId="5">
    <w:lvl w:ilvl="0">
      <w:start w:val="1"/>
      <w:numFmt w:val="bullet"/>
      <w:lvlText w:val=""/>
      <w:lvlJc w:val="start"/>
      <w:pPr>
        <w:tabs>
          <w:tab w:val="num" w:pos="432"/>
        </w:tabs>
        <w:ind w:start="432" w:hanging="432"/>
      </w:pPr>
      <w:rPr>
        <w:rFonts w:ascii="Symbol" w:hAnsi="Symbol" w:cs="Symbol" w:hint="default"/>
      </w:rPr>
    </w:lvl>
  </w:abstractNum>
  <w:abstractNum w:abstractNumId="6">
    <w:lvl w:ilvl="0">
      <w:start w:val="1"/>
      <w:numFmt w:val="bullet"/>
      <w:lvlText w:val=""/>
      <w:lvlJc w:val="start"/>
      <w:pPr>
        <w:tabs>
          <w:tab w:val="num" w:pos="432"/>
        </w:tabs>
        <w:ind w:start="432" w:hanging="432"/>
      </w:pPr>
      <w:rPr>
        <w:rFonts w:ascii="Symbol" w:hAnsi="Symbol" w:cs="Symbol" w:hint="default"/>
      </w:rPr>
    </w:lvl>
  </w:abstractNum>
  <w:abstractNum w:abstractNumId="7">
    <w:lvl w:ilvl="0">
      <w:start w:val="1"/>
      <w:numFmt w:val="bullet"/>
      <w:lvlText w:val=""/>
      <w:lvlJc w:val="start"/>
      <w:pPr>
        <w:tabs>
          <w:tab w:val="num" w:pos="432"/>
        </w:tabs>
        <w:ind w:start="432" w:hanging="432"/>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432"/>
  <w:autoHyphenation w:val="true"/>
  <w:hyphenationZone w:val="0"/>
  <w:endnotePr>
    <w:pos w:val="sectEnd"/>
    <w:numFmt w:val="decimal"/>
    <w:endnote w:id="0"/>
    <w:endnote w:id="1"/>
  </w:end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0" w:after="120"/>
      <w:jc w:val="both"/>
      <w:outlineLvl w:val="0"/>
    </w:pPr>
    <w:rPr>
      <w:u w:val="single"/>
    </w:rPr>
  </w:style>
  <w:style w:type="paragraph" w:styleId="Heading2">
    <w:name w:val="heading 2"/>
    <w:basedOn w:val="Normal"/>
    <w:next w:val="Normal"/>
    <w:qFormat/>
    <w:pPr>
      <w:keepNext w:val="true"/>
      <w:numPr>
        <w:ilvl w:val="1"/>
        <w:numId w:val="1"/>
      </w:numPr>
      <w:jc w:val="both"/>
      <w:outlineLvl w:val="1"/>
    </w:pPr>
    <w:rPr>
      <w:b/>
    </w:rPr>
  </w:style>
  <w:style w:type="paragraph" w:styleId="Heading3">
    <w:name w:val="heading 3"/>
    <w:basedOn w:val="Normal"/>
    <w:next w:val="Normal"/>
    <w:qFormat/>
    <w:pPr>
      <w:keepNext w:val="true"/>
      <w:numPr>
        <w:ilvl w:val="2"/>
        <w:numId w:val="1"/>
      </w:numPr>
      <w:outlineLvl w:val="2"/>
    </w:pPr>
    <w:rPr>
      <w:rFonts w:ascii="Arial" w:hAnsi="Arial" w:cs="Arial"/>
      <w:b/>
      <w:color w:val="000000"/>
      <w:sz w:val="18"/>
      <w:lang w:eastAsia="en-US"/>
    </w:rPr>
  </w:style>
  <w:style w:type="paragraph" w:styleId="Heading4">
    <w:name w:val="heading 4"/>
    <w:basedOn w:val="Normal"/>
    <w:next w:val="Normal"/>
    <w:qFormat/>
    <w:pPr>
      <w:keepNext w:val="true"/>
      <w:numPr>
        <w:ilvl w:val="3"/>
        <w:numId w:val="1"/>
      </w:numPr>
      <w:outlineLvl w:val="3"/>
    </w:pPr>
    <w:rPr>
      <w:rFonts w:ascii="Arial" w:hAnsi="Arial" w:cs="Arial"/>
      <w:b/>
      <w:color w:val="000000"/>
      <w:sz w:val="12"/>
      <w:lang w:eastAsia="en-US"/>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Strong">
    <w:name w:val="Strong"/>
    <w:basedOn w:val="DefaultParagraphFont"/>
    <w:qFormat/>
    <w:rPr>
      <w:b/>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FootnoteCharacters">
    <w:name w:val="Footnote Characters"/>
    <w:qForma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Header">
    <w:name w:val="header"/>
    <w:basedOn w:val="Normal"/>
    <w:pPr>
      <w:tabs>
        <w:tab w:val="clear" w:pos="432"/>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endnotes.xml.rels><?xml version="1.0" encoding="UTF-8"?>
<Relationships xmlns="http://schemas.openxmlformats.org/package/2006/relationships"><Relationship Id="rId1" Type="http://schemas.openxmlformats.org/officeDocument/2006/relationships/hyperlink" Target="mailto:EMPAInc@aol.com"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2001-06-26T18:54:00Z</dcterms:created>
  <dc:creator>Glenn R. Schleede</dc:creator>
  <dc:description/>
  <dc:language>en-CA</dc:language>
  <cp:lastModifiedBy>Glenn R. Schleede</cp:lastModifiedBy>
  <cp:lastPrinted>2001-06-25T20:16:00Z</cp:lastPrinted>
  <dcterms:modified xsi:type="dcterms:W3CDTF">2001-06-26T18:54:00Z</dcterms:modified>
  <cp:revision>2</cp:revision>
  <dc:subject/>
  <dc:title>Generous Californians Are Helping Others Pay Their Energy Bills</dc:title>
</cp:coreProperties>
</file>