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b/>
          <w:sz w:val="24"/>
          <w:u w:val="single"/>
        </w:rPr>
      </w:pPr>
      <w:r>
        <w:rPr>
          <w:b/>
          <w:sz w:val="24"/>
          <w:u w:val="single"/>
        </w:rPr>
        <w:t>Proposed Draft of 12/13/00</w:t>
      </w:r>
    </w:p>
    <w:p>
      <w:pPr>
        <w:pStyle w:val="Normal"/>
        <w:widowControl/>
        <w:jc w:val="end"/>
        <w:rPr>
          <w:b/>
          <w:bCs/>
          <w:sz w:val="24"/>
          <w:u w:val="single"/>
        </w:rPr>
      </w:pPr>
      <w:r>
        <w:rPr>
          <w:b/>
          <w:bCs/>
          <w:sz w:val="24"/>
          <w:u w:val="single"/>
        </w:rPr>
      </w:r>
    </w:p>
    <w:p>
      <w:pPr>
        <w:pStyle w:val="Normal"/>
        <w:widowControl/>
        <w:jc w:val="center"/>
        <w:rPr>
          <w:b/>
          <w:sz w:val="28"/>
          <w:u w:val="single"/>
        </w:rPr>
      </w:pPr>
      <w:r>
        <w:rPr>
          <w:b/>
          <w:sz w:val="28"/>
          <w:u w:val="single"/>
        </w:rPr>
        <w:t>LIBRARY DOCUMENT</w:t>
      </w:r>
    </w:p>
    <w:p>
      <w:pPr>
        <w:pStyle w:val="Normal"/>
        <w:widowControl/>
        <w:jc w:val="center"/>
        <w:rPr>
          <w:b/>
          <w:sz w:val="28"/>
          <w:u w:val="single"/>
        </w:rPr>
      </w:pPr>
      <w:r>
        <w:rPr>
          <w:b/>
          <w:sz w:val="28"/>
          <w:u w:val="single"/>
        </w:rPr>
      </w:r>
    </w:p>
    <w:p>
      <w:pPr>
        <w:pStyle w:val="Normal"/>
        <w:widowControl/>
        <w:jc w:val="center"/>
        <w:rPr>
          <w:b/>
        </w:rPr>
      </w:pPr>
      <w:r>
        <w:rPr>
          <w:b/>
        </w:rPr>
        <w:t>LEGAL, CREDIT AND OTHER SPECIAL PROVISIONS</w:t>
      </w:r>
    </w:p>
    <w:p>
      <w:pPr>
        <w:pStyle w:val="Normal"/>
        <w:widowControl/>
        <w:jc w:val="center"/>
        <w:rPr>
          <w:b/>
        </w:rPr>
      </w:pPr>
      <w:r>
        <w:rPr>
          <w:b/>
        </w:rPr>
      </w:r>
    </w:p>
    <w:p>
      <w:pPr>
        <w:pStyle w:val="Normal"/>
        <w:widowControl/>
        <w:jc w:val="center"/>
        <w:rPr>
          <w:b/>
        </w:rPr>
      </w:pPr>
      <w:r>
        <w:rPr>
          <w:b/>
        </w:rPr>
        <w:t>[TO BE INSERTED IF APPLICABLE]</w:t>
      </w:r>
    </w:p>
    <w:p>
      <w:pPr>
        <w:pStyle w:val="Header"/>
        <w:widowControl/>
        <w:rPr>
          <w:b/>
        </w:rPr>
      </w:pPr>
      <w:r>
        <w:rPr>
          <w:b/>
        </w:rPr>
      </w:r>
    </w:p>
    <w:p>
      <w:pPr>
        <w:pStyle w:val="Header"/>
        <w:widowControl/>
        <w:rPr>
          <w:b/>
          <w:bCs/>
        </w:rPr>
      </w:pPr>
      <w:r>
        <w:rPr>
          <w:b/>
          <w:bCs/>
        </w:rPr>
        <w:t>MASTER AGREEMENT LANGUAGE</w:t>
      </w:r>
    </w:p>
    <w:p>
      <w:pPr>
        <w:pStyle w:val="Header"/>
        <w:widowControl/>
        <w:rPr>
          <w:b/>
          <w:bCs/>
        </w:rPr>
      </w:pPr>
      <w:r>
        <w:rPr>
          <w:b/>
          <w:bCs/>
        </w:rPr>
      </w:r>
    </w:p>
    <w:p>
      <w:pPr>
        <w:pStyle w:val="Header"/>
        <w:widowControl/>
        <w:rPr>
          <w:b/>
          <w:bCs/>
          <w:u w:val="single"/>
        </w:rPr>
      </w:pPr>
      <w:r>
        <w:rPr>
          <w:b/>
          <w:bCs/>
          <w:u w:val="single"/>
        </w:rPr>
        <w:t>Alternative to “Termination Currency” in Part I(f) of ISDA Schedule</w:t>
      </w:r>
    </w:p>
    <w:p>
      <w:pPr>
        <w:pStyle w:val="Header"/>
        <w:widowControl/>
        <w:rPr>
          <w:b/>
          <w:bCs/>
          <w:u w:val="single"/>
        </w:rPr>
      </w:pPr>
      <w:r>
        <w:rPr>
          <w:b/>
          <w:bCs/>
          <w:u w:val="single"/>
        </w:rPr>
      </w:r>
    </w:p>
    <w:p>
      <w:pPr>
        <w:pStyle w:val="Header"/>
        <w:widowControl/>
        <w:rPr/>
      </w:pPr>
      <w:r>
        <w:rPr/>
        <w:t>When payments are being made in more than one currency under an ISDA Agreement, some counterparties may request a variation of the following language.</w:t>
      </w:r>
    </w:p>
    <w:p>
      <w:pPr>
        <w:pStyle w:val="Header"/>
        <w:widowControl/>
        <w:rPr/>
      </w:pPr>
      <w:r>
        <w:rPr/>
      </w:r>
    </w:p>
    <w:p>
      <w:pPr>
        <w:pStyle w:val="Normal"/>
        <w:widowControl/>
        <w:jc w:val="both"/>
        <w:rPr/>
      </w:pPr>
      <w:r>
        <w:rPr>
          <w:b/>
        </w:rPr>
        <w:t>“</w:t>
      </w:r>
      <w:r>
        <w:rPr>
          <w:b/>
        </w:rPr>
        <w:t>Termination Currency”</w:t>
      </w:r>
      <w:r>
        <w:rPr/>
        <w:t xml:space="preserve"> means in connection with any Transaction in respect of which an Early Termination Date has been designated or is deemed to occur such currency as may be selected by the party which is not the Defaulting Party or the Affected Party (as the case may be), or where there are two Affected Parties such currency as may be agreed between them, if such currency is readily available, and failing such agreement or otherwise, United States Dollars.</w:t>
      </w:r>
    </w:p>
    <w:p>
      <w:pPr>
        <w:pStyle w:val="Header"/>
        <w:widowControl/>
        <w:rPr/>
      </w:pPr>
      <w:r>
        <w:rPr/>
      </w:r>
    </w:p>
    <w:p>
      <w:pPr>
        <w:pStyle w:val="Header"/>
        <w:widowControl/>
        <w:rPr/>
      </w:pPr>
      <w:r>
        <w:rPr/>
      </w:r>
    </w:p>
    <w:p>
      <w:pPr>
        <w:pStyle w:val="Header"/>
        <w:widowControl/>
        <w:rPr>
          <w:b/>
          <w:bCs/>
          <w:u w:val="single"/>
        </w:rPr>
      </w:pPr>
      <w:r>
        <w:rPr>
          <w:b/>
          <w:bCs/>
          <w:u w:val="single"/>
        </w:rPr>
        <w:t>FINANCIAL STATEMENTS</w:t>
      </w:r>
    </w:p>
    <w:p>
      <w:pPr>
        <w:pStyle w:val="Header"/>
        <w:widowControl/>
        <w:rPr>
          <w:b/>
          <w:bCs/>
          <w:u w:val="single"/>
        </w:rPr>
      </w:pPr>
      <w:r>
        <w:rPr>
          <w:b/>
          <w:bCs/>
          <w:u w:val="single"/>
        </w:rPr>
      </w:r>
    </w:p>
    <w:p>
      <w:pPr>
        <w:pStyle w:val="BodyTextIndent"/>
        <w:ind w:hanging="0" w:end="0"/>
        <w:rPr/>
      </w:pPr>
      <w:r>
        <w:rPr/>
        <w:t>[Use When Counterparty Will Not Provide Financials, But Must Make Them Available For Our Review]</w:t>
      </w:r>
    </w:p>
    <w:p>
      <w:pPr>
        <w:pStyle w:val="Header"/>
        <w:widowControl/>
        <w:rPr>
          <w:u w:val="single"/>
        </w:rPr>
      </w:pPr>
      <w:r>
        <w:rPr>
          <w:u w:val="single"/>
        </w:rPr>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Party B</w:t>
            </w:r>
          </w:p>
        </w:tc>
        <w:tc>
          <w:tcPr>
            <w:tcW w:w="4104" w:type="dxa"/>
            <w:tcBorders/>
          </w:tcPr>
          <w:p>
            <w:pPr>
              <w:pStyle w:val="Normal"/>
              <w:spacing w:lineRule="atLeast" w:line="240" w:before="240" w:after="0"/>
              <w:jc w:val="both"/>
              <w:rPr/>
            </w:pPr>
            <w:r>
              <w:rPr/>
              <w:t>Annual Audited Consolidated Financial Statement of Party B certified by independent public accountants</w:t>
            </w:r>
          </w:p>
        </w:tc>
        <w:tc>
          <w:tcPr>
            <w:tcW w:w="2340" w:type="dxa"/>
            <w:tcBorders/>
          </w:tcPr>
          <w:p>
            <w:pPr>
              <w:pStyle w:val="Normal"/>
              <w:spacing w:lineRule="atLeast" w:line="240" w:before="240" w:after="0"/>
              <w:jc w:val="both"/>
              <w:rPr/>
            </w:pPr>
            <w:r>
              <w:rPr/>
              <w:t>Available for review by Party A in the offices of Party B upon reasonable notice by Party A to Party B</w:t>
            </w:r>
          </w:p>
        </w:tc>
        <w:tc>
          <w:tcPr>
            <w:tcW w:w="1926" w:type="dxa"/>
            <w:tcBorders/>
          </w:tcPr>
          <w:p>
            <w:pPr>
              <w:pStyle w:val="Normal"/>
              <w:spacing w:lineRule="atLeast" w:line="240" w:before="240" w:after="0"/>
              <w:jc w:val="both"/>
              <w:rPr/>
            </w:pPr>
            <w:r>
              <w:rPr/>
              <w:t>Yes</w:t>
            </w:r>
          </w:p>
        </w:tc>
      </w:tr>
      <w:tr>
        <w:trPr/>
        <w:tc>
          <w:tcPr>
            <w:tcW w:w="1926" w:type="dxa"/>
            <w:tcBorders/>
          </w:tcPr>
          <w:p>
            <w:pPr>
              <w:pStyle w:val="Normal"/>
              <w:spacing w:lineRule="atLeast" w:line="240" w:before="240" w:after="0"/>
              <w:jc w:val="both"/>
              <w:rPr/>
            </w:pPr>
            <w:r>
              <w:rPr/>
              <w:t>Party B</w:t>
            </w:r>
          </w:p>
        </w:tc>
        <w:tc>
          <w:tcPr>
            <w:tcW w:w="4104" w:type="dxa"/>
            <w:tcBorders/>
          </w:tcPr>
          <w:p>
            <w:pPr>
              <w:pStyle w:val="Normal"/>
              <w:spacing w:lineRule="atLeast" w:line="240" w:before="240" w:after="0"/>
              <w:jc w:val="both"/>
              <w:rPr/>
            </w:pPr>
            <w:r>
              <w:rPr/>
              <w:t>Quarterly Unaudited Consolidated Financial Statement of Party B</w:t>
            </w:r>
          </w:p>
        </w:tc>
        <w:tc>
          <w:tcPr>
            <w:tcW w:w="2340" w:type="dxa"/>
            <w:tcBorders/>
          </w:tcPr>
          <w:p>
            <w:pPr>
              <w:pStyle w:val="Normal"/>
              <w:spacing w:lineRule="atLeast" w:line="240" w:before="240" w:after="0"/>
              <w:jc w:val="both"/>
              <w:rPr/>
            </w:pPr>
            <w:r>
              <w:rPr/>
              <w:t>Available for review by Party A in the offices of Party B, upon reasonable notice by Party A to Party B</w:t>
            </w:r>
          </w:p>
        </w:tc>
        <w:tc>
          <w:tcPr>
            <w:tcW w:w="1926" w:type="dxa"/>
            <w:tcBorders/>
          </w:tcPr>
          <w:p>
            <w:pPr>
              <w:pStyle w:val="Normal"/>
              <w:spacing w:lineRule="atLeast" w:line="240" w:before="240" w:after="0"/>
              <w:jc w:val="both"/>
              <w:rPr/>
            </w:pPr>
            <w:r>
              <w:rPr/>
              <w:t>Yes</w:t>
            </w:r>
          </w:p>
        </w:tc>
      </w:tr>
    </w:tbl>
    <w:p>
      <w:pPr>
        <w:pStyle w:val="Header"/>
        <w:widowControl/>
        <w:rPr/>
      </w:pPr>
      <w:r>
        <w:rPr/>
      </w:r>
    </w:p>
    <w:p>
      <w:pPr>
        <w:pStyle w:val="Normal"/>
        <w:widowControl/>
        <w:jc w:val="both"/>
        <w:rPr>
          <w:b/>
          <w:u w:val="single"/>
        </w:rPr>
      </w:pPr>
      <w:r>
        <w:rPr>
          <w:b/>
          <w:u w:val="single"/>
        </w:rPr>
        <w:t>DISRUPTION FALLBACKS, Bilateral Alternative Language</w:t>
      </w:r>
    </w:p>
    <w:p>
      <w:pPr>
        <w:pStyle w:val="Header"/>
        <w:widowControl/>
        <w:rPr>
          <w:b/>
          <w:u w:val="single"/>
        </w:rPr>
      </w:pPr>
      <w:r>
        <w:rPr>
          <w:b/>
          <w:u w:val="single"/>
        </w:rPr>
      </w:r>
    </w:p>
    <w:p>
      <w:pPr>
        <w:pStyle w:val="Header"/>
        <w:widowControl/>
        <w:rPr>
          <w:b/>
        </w:rPr>
      </w:pPr>
      <w:r>
        <w:rPr>
          <w:b/>
        </w:rPr>
        <w:t>ISDA Agreements:</w:t>
      </w:r>
    </w:p>
    <w:p>
      <w:pPr>
        <w:pStyle w:val="Header"/>
        <w:widowControl/>
        <w:rPr>
          <w:b/>
        </w:rPr>
      </w:pPr>
      <w:r>
        <w:rPr>
          <w:b/>
        </w:rPr>
      </w:r>
    </w:p>
    <w:p>
      <w:pPr>
        <w:pStyle w:val="Normal"/>
        <w:widowControl/>
        <w:jc w:val="both"/>
        <w:rPr/>
      </w:pPr>
      <w:r>
        <w:rPr/>
        <w:tab/>
        <w:t>(iv)</w:t>
        <w:tab/>
        <w:t>The Relevant Price will be determined and calculated as set forth in the definition of “Commodity-Reference Dealers”, however, notwithstanding any reference to the number of Specified Prices in such definition, the Relevant Price shall be determined with each party obtaining quotes from two (2) leading dealers in the relevant market and averaging the two quotes remaining after eliminating the highest and lowest of such quotes.</w:t>
      </w:r>
    </w:p>
    <w:p>
      <w:pPr>
        <w:pStyle w:val="Header"/>
        <w:widowControl/>
        <w:rPr/>
      </w:pPr>
      <w:r>
        <w:rPr/>
      </w:r>
    </w:p>
    <w:p>
      <w:pPr>
        <w:pStyle w:val="Header"/>
        <w:widowControl/>
        <w:rPr>
          <w:b/>
        </w:rPr>
      </w:pPr>
      <w:r>
        <w:rPr>
          <w:b/>
        </w:rPr>
        <w:t>ENA Agreements:</w:t>
      </w:r>
    </w:p>
    <w:p>
      <w:pPr>
        <w:pStyle w:val="Header"/>
        <w:widowControl/>
        <w:rPr>
          <w:b/>
        </w:rPr>
      </w:pPr>
      <w:r>
        <w:rPr>
          <w:b/>
        </w:rPr>
      </w:r>
    </w:p>
    <w:p>
      <w:pPr>
        <w:pStyle w:val="Header"/>
        <w:widowControl/>
        <w:jc w:val="both"/>
        <w:rPr/>
      </w:pPr>
      <w:r>
        <w:rPr/>
        <w:t>…“</w:t>
      </w:r>
      <w:r>
        <w:rPr/>
        <w:t>then the Floating Price shall be determined by each party obtaining quotes from two (2) leading dealers in the relevant market and averaging the two quotes remaining after eliminating the highest and lowest of such quotes.”</w:t>
      </w:r>
    </w:p>
    <w:p>
      <w:pPr>
        <w:pStyle w:val="Header"/>
        <w:widowControl/>
        <w:rPr/>
      </w:pPr>
      <w:r>
        <w:rPr/>
      </w:r>
    </w:p>
    <w:p>
      <w:pPr>
        <w:pStyle w:val="Header"/>
        <w:widowControl/>
        <w:rPr/>
      </w:pPr>
      <w:r>
        <w:rPr/>
      </w:r>
    </w:p>
    <w:p>
      <w:pPr>
        <w:pStyle w:val="Header"/>
        <w:widowControl/>
        <w:rPr>
          <w:b/>
        </w:rPr>
      </w:pPr>
      <w:r>
        <w:rPr>
          <w:b/>
        </w:rPr>
        <w:t>ENTIRE AGREEMENT</w:t>
      </w:r>
    </w:p>
    <w:p>
      <w:pPr>
        <w:pStyle w:val="Header"/>
        <w:widowControl/>
        <w:rPr/>
      </w:pPr>
      <w:r>
        <w:rPr/>
      </w:r>
    </w:p>
    <w:p>
      <w:pPr>
        <w:pStyle w:val="Header"/>
        <w:widowControl/>
        <w:rPr/>
      </w:pPr>
      <w:r>
        <w:rPr/>
        <w:t>Use this language if we replace one executed master agreement with another:</w:t>
      </w:r>
    </w:p>
    <w:p>
      <w:pPr>
        <w:pStyle w:val="Header"/>
        <w:widowControl/>
        <w:rPr/>
      </w:pPr>
      <w:r>
        <w:rPr/>
      </w:r>
    </w:p>
    <w:p>
      <w:pPr>
        <w:pStyle w:val="Normal"/>
        <w:widowControl/>
        <w:spacing w:lineRule="exact" w:line="240"/>
        <w:ind w:firstLine="720" w:end="0"/>
        <w:jc w:val="both"/>
        <w:rPr/>
      </w:pPr>
      <w:r>
        <w:rPr/>
        <w:t>(  )</w:t>
        <w:tab/>
      </w:r>
      <w:r>
        <w:rPr>
          <w:b/>
        </w:rPr>
        <w:t>Entire Agreement.</w:t>
      </w:r>
      <w:r>
        <w:rPr/>
        <w:t xml:space="preserve">  This Agreement shall supersede and replace all prior agreements between the parties hereto (other than confirmations of specific Transaction terms), including the Master Agreement dated as of ___________, 199__, as amended.  All Transactions entered into between the parties hereto or their predecessors in title in effect on the date hereof, and all Transactions entered into between the parties hereto on or after the date hereof shall be governed by this Agreement unless otherwise specified in the Confirmation thereof.</w:t>
      </w:r>
    </w:p>
    <w:p>
      <w:pPr>
        <w:pStyle w:val="Header"/>
        <w:widowControl/>
        <w:rPr/>
      </w:pPr>
      <w:r>
        <w:rPr/>
      </w:r>
    </w:p>
    <w:p>
      <w:pPr>
        <w:pStyle w:val="Header"/>
        <w:widowControl/>
        <w:rPr/>
      </w:pPr>
      <w:r>
        <w:rPr/>
      </w:r>
    </w:p>
    <w:p>
      <w:pPr>
        <w:pStyle w:val="Normal"/>
        <w:widowControl/>
        <w:jc w:val="both"/>
        <w:rPr>
          <w:b/>
          <w:u w:val="single"/>
        </w:rPr>
      </w:pPr>
      <w:r>
        <w:rPr>
          <w:b/>
          <w:u w:val="single"/>
        </w:rPr>
        <w:t>GUARANTIES, Prior Guaranty Language (when one guaranty is being replaced by another)</w:t>
      </w:r>
    </w:p>
    <w:p>
      <w:pPr>
        <w:pStyle w:val="Header"/>
        <w:widowControl/>
        <w:rPr>
          <w:b/>
          <w:u w:val="single"/>
        </w:rPr>
      </w:pPr>
      <w:r>
        <w:rPr>
          <w:b/>
          <w:u w:val="single"/>
        </w:rPr>
      </w:r>
    </w:p>
    <w:p>
      <w:pPr>
        <w:pStyle w:val="Header"/>
        <w:widowControl/>
        <w:rPr/>
      </w:pPr>
      <w:r>
        <w:rPr/>
        <w:t>1.  Insert this language in the “Whereas” Section of the Guaranty:</w:t>
      </w:r>
    </w:p>
    <w:p>
      <w:pPr>
        <w:pStyle w:val="Header"/>
        <w:widowControl/>
        <w:rPr/>
      </w:pPr>
      <w:r>
        <w:rPr/>
      </w:r>
    </w:p>
    <w:p>
      <w:pPr>
        <w:pStyle w:val="Normal"/>
        <w:widowControl/>
        <w:spacing w:lineRule="atLeast" w:line="240"/>
        <w:ind w:firstLine="720" w:end="0"/>
        <w:jc w:val="both"/>
        <w:rPr/>
      </w:pPr>
      <w:r>
        <w:rPr/>
        <w:t>“</w:t>
      </w:r>
      <w:r>
        <w:rPr/>
        <w:t xml:space="preserve">WHEREAS, Guarantor executed a Guaranty dated effective as of _______, 200__ (the “Prior Guaranty”), a copy of which is attached hereto as </w:t>
      </w:r>
      <w:r>
        <w:rPr>
          <w:u w:val="single"/>
        </w:rPr>
        <w:t>Exhibit B</w:t>
      </w:r>
      <w:r>
        <w:rPr/>
        <w:t>, as such guaranty may have been modified, amended and supplemented from time to time, guaranteeing ENA’s obligations to Counterparty under [one or more swap, option or other financially-settled derivative transactions][the Master Agreement dated _____________, 200_] between ENA and Counterparty; and</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WHEREAS, Guarantor desires to substitute and replace this Guaranty for the Prior Guaranty and Counterparty agrees to such substitution and replacement;”</w:t>
      </w:r>
    </w:p>
    <w:p>
      <w:pPr>
        <w:pStyle w:val="Header"/>
        <w:widowControl/>
        <w:rPr/>
      </w:pPr>
      <w:r>
        <w:rPr/>
      </w:r>
    </w:p>
    <w:p>
      <w:pPr>
        <w:pStyle w:val="Header"/>
        <w:widowControl/>
        <w:rPr/>
      </w:pPr>
      <w:r>
        <w:rPr/>
        <w:t>2.  Insert this language as a new Paragraph 7 right before the Notice section and renumber the paragraphs that follow:</w:t>
      </w:r>
    </w:p>
    <w:p>
      <w:pPr>
        <w:pStyle w:val="Header"/>
        <w:widowControl/>
        <w:rPr/>
      </w:pPr>
      <w:r>
        <w:rPr/>
      </w:r>
    </w:p>
    <w:p>
      <w:pPr>
        <w:pStyle w:val="Header"/>
        <w:widowControl/>
        <w:tabs>
          <w:tab w:val="left" w:pos="720" w:leader="none"/>
          <w:tab w:val="center" w:pos="4320" w:leader="none"/>
          <w:tab w:val="right" w:pos="8640" w:leader="none"/>
        </w:tabs>
        <w:jc w:val="both"/>
        <w:rPr/>
      </w:pPr>
      <w:r>
        <w:rPr/>
        <w:tab/>
        <w:t>“7.</w:t>
        <w:tab/>
        <w:t xml:space="preserve">  </w:t>
      </w:r>
      <w:r>
        <w:rPr>
          <w:u w:val="single"/>
        </w:rPr>
        <w:t>PRIOR GUARANTY</w:t>
      </w:r>
      <w:r>
        <w:rPr/>
        <w:t>.  Upon execution and delivery of this Guaranty by Guarantor and Counterparty, the Prior Guaranty shall become null and void and of no further force or effect.  Upon receipt of an originally executed copy of this Guaranty, Counterparty agrees to promptly return the original of the Prior Guaranty to ENA.  It is expressly acknowledged that this Guaranty is given in replacement and substitution of the Prior Guaranty and shall become operative only upon termination of the Prior Guaranty as set forth in this Paragraph 7.”</w:t>
      </w:r>
    </w:p>
    <w:p>
      <w:pPr>
        <w:pStyle w:val="Header"/>
        <w:widowControl/>
        <w:jc w:val="both"/>
        <w:rPr/>
      </w:pPr>
      <w:r>
        <w:rPr/>
      </w:r>
    </w:p>
    <w:p>
      <w:pPr>
        <w:pStyle w:val="Header"/>
        <w:widowControl/>
        <w:tabs>
          <w:tab w:val="left" w:pos="720" w:leader="none"/>
          <w:tab w:val="center" w:pos="4320" w:leader="none"/>
          <w:tab w:val="right" w:pos="8640" w:leader="none"/>
        </w:tabs>
        <w:jc w:val="both"/>
        <w:rPr/>
      </w:pPr>
      <w:r>
        <w:rPr/>
        <w:t>3.  Insert the underlined language in the final paragraph of the guaranty:</w:t>
      </w:r>
    </w:p>
    <w:p>
      <w:pPr>
        <w:pStyle w:val="Header"/>
        <w:widowControl/>
        <w:jc w:val="both"/>
        <w:rPr/>
      </w:pPr>
      <w:r>
        <w:rPr/>
      </w:r>
    </w:p>
    <w:p>
      <w:pPr>
        <w:pStyle w:val="Normal"/>
        <w:widowControl/>
        <w:spacing w:lineRule="atLeast" w:line="240"/>
        <w:ind w:firstLine="720" w:end="0"/>
        <w:jc w:val="both"/>
        <w:rPr/>
      </w:pPr>
      <w:r>
        <w:rPr/>
        <w:t>9.</w:t>
        <w:tab/>
      </w:r>
      <w:r>
        <w:rPr>
          <w:u w:val="single"/>
        </w:rPr>
        <w:t>MISCELLANEOUS</w:t>
      </w:r>
      <w:r>
        <w:rPr/>
        <w:t xml:space="preserve">.  </w:t>
      </w:r>
      <w:r>
        <w:rPr>
          <w:b/>
        </w:rPr>
        <w:t>THIS GUARANTY SHALL IN ALL RESPECTS BE GOVERNED BY, AND CONSTRUED IN ACCORDANCE WITH, THE LAW OF THE STATE OF TEXAS, WITHOUT REGARD TO PRINCIPLES OF CONFLICTS OF LAWS.</w:t>
      </w:r>
      <w:r>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w:t>
      </w:r>
      <w:r>
        <w:rPr>
          <w:u w:val="single"/>
        </w:rPr>
        <w:t>including the Prior Guaranty</w:t>
      </w:r>
      <w:r>
        <w:rPr/>
        <w:t>.  The headings in this Guaranty are for purposes of reference only, and shall not affect the meaning hereof.</w:t>
      </w:r>
    </w:p>
    <w:p>
      <w:pPr>
        <w:pStyle w:val="Header"/>
        <w:widowControl/>
        <w:jc w:val="both"/>
        <w:rPr/>
      </w:pPr>
      <w:r>
        <w:rPr/>
      </w:r>
    </w:p>
    <w:p>
      <w:pPr>
        <w:pStyle w:val="Header"/>
        <w:widowControl/>
        <w:rPr/>
      </w:pPr>
      <w:r>
        <w:rPr/>
      </w:r>
    </w:p>
    <w:p>
      <w:pPr>
        <w:pStyle w:val="Normal"/>
        <w:widowControl/>
        <w:jc w:val="both"/>
        <w:rPr>
          <w:b/>
          <w:u w:val="single"/>
        </w:rPr>
      </w:pPr>
      <w:r>
        <w:rPr>
          <w:b/>
          <w:u w:val="single"/>
        </w:rPr>
        <w:t>JURISDICTION (exclusive New York)</w:t>
      </w:r>
    </w:p>
    <w:p>
      <w:pPr>
        <w:pStyle w:val="Header"/>
        <w:widowControl/>
        <w:rPr>
          <w:b/>
          <w:u w:val="single"/>
        </w:rPr>
      </w:pPr>
      <w:r>
        <w:rPr>
          <w:b/>
          <w:u w:val="single"/>
        </w:rPr>
      </w:r>
    </w:p>
    <w:p>
      <w:pPr>
        <w:pStyle w:val="Header"/>
        <w:widowControl/>
        <w:jc w:val="both"/>
        <w:rPr/>
      </w:pPr>
      <w:r>
        <w:rPr/>
        <w:t>Each of the parties irrevocably submits to the jurisdiction of the Supreme Court of the State of New York, County of New York, the U.S. District Court of the Southern District of New York and any appellate court or body thereto (collectively, the "New York Courts"), over any suit, action or proceeding arising out of or relating to this Agreement.  Each of the parties hereto irrevocably waives, to the fullest extent permitted by law, any objection which it may now or hereafter have to the laying of the venue of any such suit, action or proceeding brought in any such court, any claim that any such suit, action or proceeding brought in such court has been brought in an inconvenient forum and any right to which it may be entitled on account of place of residence or domicile, and further agrees that a final judgment in any such suit, action or proceeding brought in any such court shall be conclusive and binding upon such party.</w:t>
      </w:r>
    </w:p>
    <w:p>
      <w:pPr>
        <w:pStyle w:val="Header"/>
        <w:widowControl/>
        <w:rPr/>
      </w:pPr>
      <w:r>
        <w:rPr/>
      </w:r>
    </w:p>
    <w:p>
      <w:pPr>
        <w:pStyle w:val="Normal"/>
        <w:widowControl/>
        <w:rPr>
          <w:u w:val="single"/>
        </w:rPr>
      </w:pPr>
      <w:r>
        <w:rPr>
          <w:u w:val="single"/>
        </w:rPr>
      </w:r>
    </w:p>
    <w:p>
      <w:pPr>
        <w:pStyle w:val="Header"/>
        <w:keepNext w:val="true"/>
        <w:widowControl/>
        <w:rPr>
          <w:b/>
        </w:rPr>
      </w:pPr>
      <w:r>
        <w:rPr>
          <w:b/>
          <w:u w:val="single"/>
        </w:rPr>
        <w:t>SUBROGATION LANGUAGE THAT USED TO BE IN ENRON CORP. GUARANTY</w:t>
      </w:r>
    </w:p>
    <w:p>
      <w:pPr>
        <w:pStyle w:val="Header"/>
        <w:widowControl/>
        <w:rPr>
          <w:b/>
        </w:rPr>
      </w:pPr>
      <w:r>
        <w:rPr>
          <w:b/>
        </w:rPr>
      </w:r>
    </w:p>
    <w:p>
      <w:pPr>
        <w:pStyle w:val="Normal"/>
        <w:widowControl/>
        <w:spacing w:lineRule="atLeast" w:line="240"/>
        <w:ind w:firstLine="720" w:end="0"/>
        <w:jc w:val="both"/>
        <w:rPr/>
      </w:pPr>
      <w:r>
        <w:rPr/>
        <w:t>5.</w:t>
        <w:tab/>
      </w:r>
      <w:r>
        <w:rPr>
          <w:u w:val="single"/>
        </w:rPr>
        <w:t>SUBROGATION</w:t>
      </w:r>
      <w:r>
        <w:rPr/>
        <w:t>.  Guarantor waives its right to be subrogated to the rights of Counterparty with respect to any Obligations paid or performed by Guarantor until Guarantor has fully and indefeasibly satisfied all of Guarantor's obligations under this Guaranty.</w:t>
      </w:r>
    </w:p>
    <w:p>
      <w:pPr>
        <w:pStyle w:val="Header"/>
        <w:widowControl/>
        <w:rPr/>
      </w:pPr>
      <w:r>
        <w:rPr/>
      </w:r>
    </w:p>
    <w:p>
      <w:pPr>
        <w:pStyle w:val="Header"/>
        <w:keepNext w:val="true"/>
        <w:widowControl/>
        <w:rPr>
          <w:b/>
        </w:rPr>
      </w:pPr>
      <w:r>
        <w:rPr>
          <w:b/>
          <w:u w:val="single"/>
        </w:rPr>
        <w:t>HEADERS</w:t>
      </w:r>
    </w:p>
    <w:p>
      <w:pPr>
        <w:pStyle w:val="Header"/>
        <w:keepNext w:val="true"/>
        <w:widowControl/>
        <w:rPr>
          <w:b/>
        </w:rPr>
      </w:pPr>
      <w:r>
        <w:rPr>
          <w:b/>
        </w:rPr>
      </w:r>
    </w:p>
    <w:p>
      <w:pPr>
        <w:pStyle w:val="Normal"/>
        <w:keepNext w:val="true"/>
        <w:widowControl/>
        <w:spacing w:lineRule="atLeast" w:line="240"/>
        <w:rPr>
          <w:b/>
        </w:rPr>
      </w:pPr>
      <w:r>
        <w:rPr>
          <w:b/>
        </w:rPr>
        <w:tab/>
        <w:t>Header For Municipalities And Utilities:</w:t>
      </w:r>
    </w:p>
    <w:p>
      <w:pPr>
        <w:pStyle w:val="Header"/>
        <w:keepNext w:val="true"/>
        <w:widowControl/>
        <w:rPr/>
      </w:pPr>
      <w:r>
        <w:rPr/>
      </w:r>
    </w:p>
    <w:p>
      <w:pPr>
        <w:pStyle w:val="Normal"/>
        <w:keepNext w:val="true"/>
        <w:widowControl/>
        <w:spacing w:lineRule="atLeast" w:line="240"/>
        <w:jc w:val="both"/>
        <w:rPr>
          <w:b/>
        </w:rPr>
      </w:pPr>
      <w:r>
        <w:rPr>
          <w:b/>
        </w:rPr>
        <w:t>[APPROPRIATE REPRESENTATIONS AND LEGAL OPINIONS MAY BE REQUIRED REGARDING THE AUTHORITY OF COUNTERPARTY TO ENTER INTO THIS AGREEMENT.  THIS MATTER WILL NEED TO BE DISCUSSED WITH COUNTERPARTY’S COUNSEL]</w:t>
      </w:r>
    </w:p>
    <w:p>
      <w:pPr>
        <w:pStyle w:val="Normal"/>
        <w:widowControl/>
        <w:spacing w:lineRule="atLeast" w:line="240"/>
        <w:rPr>
          <w:b/>
        </w:rPr>
      </w:pPr>
      <w:r>
        <w:rPr>
          <w:b/>
        </w:rPr>
      </w:r>
    </w:p>
    <w:p>
      <w:pPr>
        <w:pStyle w:val="Normal"/>
        <w:widowControl/>
        <w:spacing w:lineRule="atLeast" w:line="240"/>
        <w:rPr>
          <w:b/>
        </w:rPr>
      </w:pPr>
      <w:r>
        <w:rPr>
          <w:b/>
        </w:rPr>
        <w:tab/>
        <w:t>Header For Sample Contract Forms:</w:t>
      </w:r>
    </w:p>
    <w:p>
      <w:pPr>
        <w:pStyle w:val="Normal"/>
        <w:widowControl/>
        <w:spacing w:lineRule="atLeast" w:line="240"/>
        <w:rPr/>
      </w:pPr>
      <w:r>
        <w:rPr/>
      </w:r>
    </w:p>
    <w:p>
      <w:pPr>
        <w:pStyle w:val="Normal"/>
        <w:widowControl/>
        <w:spacing w:lineRule="atLeast" w:line="240"/>
        <w:jc w:val="center"/>
        <w:rPr>
          <w:b/>
        </w:rPr>
      </w:pPr>
      <w:r>
        <w:rPr>
          <w:b/>
        </w:rPr>
        <w:t>THIS CONTRACT IS A SAMPLE FORM OF CONTRACT ONLY AND DOES NOT INCLUDE ALL PROVISIONS THAT ARE NECESSARY TO IMPLEMENT TRANSACTIONS.  THIS SAMPLE CONTRACT WILL BE MODIFIED UPON CREDIT REVIEW OF COUNTERPARTY AND TYPE OF LEGAL ENTITY INVOLVED.  THIS SAMPLE CONTRACT IS PRESENTED FOR DISCUSSION PURPOSES ONLY AND MAY NOT BE EXECUTED FOR ANY PURPOSE.</w:t>
      </w:r>
    </w:p>
    <w:p>
      <w:pPr>
        <w:pStyle w:val="Header"/>
        <w:widowControl/>
        <w:rPr/>
      </w:pPr>
      <w:r>
        <w:rPr/>
      </w:r>
    </w:p>
    <w:p>
      <w:pPr>
        <w:pStyle w:val="Header"/>
        <w:widowControl/>
        <w:rPr/>
      </w:pPr>
      <w:r>
        <w:rPr/>
      </w:r>
    </w:p>
    <w:p>
      <w:pPr>
        <w:pStyle w:val="Header"/>
        <w:widowControl/>
        <w:rPr>
          <w:b/>
        </w:rPr>
      </w:pPr>
      <w:r>
        <w:rPr>
          <w:b/>
          <w:u w:val="single"/>
        </w:rPr>
        <w:t>INSURANCE COMPANIES</w:t>
      </w:r>
    </w:p>
    <w:p>
      <w:pPr>
        <w:pStyle w:val="Header"/>
        <w:widowControl/>
        <w:rPr>
          <w:b/>
        </w:rPr>
      </w:pPr>
      <w:r>
        <w:rPr>
          <w:b/>
        </w:rPr>
      </w:r>
    </w:p>
    <w:p>
      <w:pPr>
        <w:pStyle w:val="Header"/>
        <w:widowControl/>
        <w:rPr>
          <w:b/>
        </w:rPr>
      </w:pPr>
      <w:r>
        <w:rPr>
          <w:b/>
        </w:rPr>
        <w:t>[Insert as a new subparagraph (c) after the mutual representations contained in subparagraph (b) in “Part 5.  Other Provisions” in the Schedule to the ISDA Master Agreement (Multicurrency-Cross Border)]</w:t>
      </w:r>
    </w:p>
    <w:p>
      <w:pPr>
        <w:pStyle w:val="Normal"/>
        <w:widowControl/>
        <w:spacing w:before="240" w:after="0"/>
        <w:jc w:val="both"/>
        <w:rPr/>
      </w:pPr>
      <w:r>
        <w:rPr/>
        <w:tab/>
        <w:t>(c)</w:t>
        <w:tab/>
      </w:r>
      <w:r>
        <w:rPr>
          <w:b/>
        </w:rPr>
        <w:t>Additional Representations of Party B.</w:t>
      </w:r>
      <w:r>
        <w:rPr/>
        <w:t xml:space="preserve">  Party B hereby further represents and warrants to Party A (which representations will be deemed to be repeated by Party B at all times until the termination of this Agreement) that:</w:t>
      </w:r>
    </w:p>
    <w:p>
      <w:pPr>
        <w:pStyle w:val="Normal"/>
        <w:widowControl/>
        <w:spacing w:lineRule="exact" w:line="240" w:before="240" w:after="0"/>
        <w:ind w:firstLine="720" w:start="720" w:end="0"/>
        <w:jc w:val="both"/>
        <w:rPr/>
      </w:pPr>
      <w:r>
        <w:rPr/>
        <w:t>(i)</w:t>
        <w:tab/>
        <w:t>To the best of its knowledge it is in compliance with all applicable provisions of the [insert the name of Party B’s state of organization’s insurance code] (the “Code”) and covenants that it will comply with all applicable provisions of the Code during the term of this Agreement;</w:t>
      </w:r>
    </w:p>
    <w:p>
      <w:pPr>
        <w:pStyle w:val="Normal"/>
        <w:widowControl/>
        <w:spacing w:lineRule="exact" w:line="240" w:before="240" w:after="0"/>
        <w:ind w:firstLine="720" w:start="720" w:end="0"/>
        <w:jc w:val="both"/>
        <w:rPr/>
      </w:pPr>
      <w:r>
        <w:rPr/>
        <w:t>(ii)</w:t>
        <w:tab/>
        <w:t>It has invested an amount that is at least equal to its required minimum paid-in capital in securities specified in Article [__] of the Code, and covenants to maintain such required amount in securities so specified at all times during the term of this Agreement;</w:t>
      </w:r>
    </w:p>
    <w:p>
      <w:pPr>
        <w:pStyle w:val="Normal"/>
        <w:widowControl/>
        <w:spacing w:lineRule="exact" w:line="240" w:before="240" w:after="0"/>
        <w:ind w:firstLine="720" w:start="720" w:end="0"/>
        <w:jc w:val="both"/>
        <w:rPr/>
      </w:pPr>
      <w:r>
        <w:rPr/>
        <w:t>(iii)</w:t>
        <w:tab/>
        <w:t>It represents and covenants that this Agreement and the Transactions under this Agreement shall comply in all respects with Section [__] of the Code, including without limitation that the value of all such Transactions, together with all investments that it maintains or will acquire pursuant to Section [__] of the Code during the term of this Agreement, do not and shall not exceed in the aggregate, the lesser of (i) 5 percent of its admitted assets, or (ii) 50 percent of its admitted assets over the sum of capital paid up, liabilities and the surplus required by Section [__] of the Code;</w:t>
      </w:r>
    </w:p>
    <w:p>
      <w:pPr>
        <w:pStyle w:val="Normal"/>
        <w:widowControl/>
        <w:spacing w:lineRule="exact" w:line="240" w:before="240" w:after="0"/>
        <w:ind w:firstLine="720" w:start="720" w:end="0"/>
        <w:jc w:val="both"/>
        <w:rPr/>
      </w:pPr>
      <w:r>
        <w:rPr/>
        <w:t>(iv)</w:t>
        <w:tab/>
        <w:t>It is not an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widowControl/>
        <w:spacing w:lineRule="exact" w:line="240" w:before="240" w:after="0"/>
        <w:ind w:firstLine="720" w:start="720" w:end="0"/>
        <w:jc w:val="both"/>
        <w:rPr/>
      </w:pPr>
      <w:r>
        <w:rPr/>
        <w:t>(v)</w:t>
        <w:tab/>
        <w:t>It represents and warrants that it is not “commercially domiciled” (as such term is contemplated by the insurance laws of any jurisdiction where it conducts business) in any jurisdiction other than that set forth for the purpose of Section 3(f); to the extent that any state insurance holding company systems act applies to any guaranty or other credit support provided in the Credit Support Document or otherwise, it has caused any applicable regulatory notification to be made, and if such notification is required prior to the subject transaction, approval has been received or any applicable waiting period has elapsed; and the transactions contemplated in this agreement and any Credit Support Document (including the Transactions) are not voidable under any state insurance holding company systems act or investment law; and</w:t>
      </w:r>
    </w:p>
    <w:p>
      <w:pPr>
        <w:pStyle w:val="Normal"/>
        <w:widowControl/>
        <w:spacing w:lineRule="exact" w:line="240" w:before="240" w:after="0"/>
        <w:ind w:firstLine="720" w:start="720" w:end="0"/>
        <w:jc w:val="both"/>
        <w:rPr/>
      </w:pPr>
      <w:r>
        <w:rPr/>
        <w:t>(vi)</w:t>
        <w:tab/>
        <w:t>(1)  The source of funds used by it in any Transaction is an “insurance company general account:, within the meaning of Section V(e) of the Department of Labor Prohibited Transaction Class Exemption (“PTE”) 95-60, (ii) the amount of reserves and liabilities (as defined by the annual statement for like insurance companies approved by the National Association of Insurance Commissioners (“NAIC Annual Statement”) and before reduction for credits on account of any reinsurance coded on a coinsurance basis (the “Reserves and Liabilities)) for its general account contract(s) held by or on behalf of any employee benefit plan subject to Title I of ERISA or any plan or individual retirement account subject to Section 4975 of the Code (“ERISA Plan”), together with the amount of the Reserves and Liabilities for its general account contract(s) held by or on behalf of any other ERISA Plans maintained by the same employer (or any “affiliate” thereof, within the meaning of Section V(a)(1) of PTE 95-60) or by the same employee organization, does not exceed 10% of the total Reserves and Liabilities of its general account (exclusive of separate account liabilities) plus surplus, as set forth in the NAIC Annual Statement filed with the state of domicile of Party B, and (iii) the conditions set forth under Section IV of PTE 95-60 are satisfied with respect to each Transaction.</w:t>
      </w:r>
    </w:p>
    <w:p>
      <w:pPr>
        <w:pStyle w:val="Header"/>
        <w:widowControl/>
        <w:rPr/>
      </w:pPr>
      <w:r>
        <w:rPr/>
      </w:r>
    </w:p>
    <w:p>
      <w:pPr>
        <w:pStyle w:val="Header"/>
        <w:widowControl/>
        <w:rPr/>
      </w:pPr>
      <w:r>
        <w:rPr/>
      </w:r>
    </w:p>
    <w:p>
      <w:pPr>
        <w:pStyle w:val="Header"/>
        <w:widowControl/>
        <w:rPr>
          <w:b/>
        </w:rPr>
      </w:pPr>
      <w:r>
        <w:rPr>
          <w:b/>
          <w:u w:val="single"/>
        </w:rPr>
        <w:t>ISDA AGREEMENTS (MISCELLANEOUS)</w:t>
      </w:r>
    </w:p>
    <w:p>
      <w:pPr>
        <w:pStyle w:val="Header"/>
        <w:widowControl/>
        <w:rPr>
          <w:b/>
        </w:rPr>
      </w:pPr>
      <w:r>
        <w:rPr>
          <w:b/>
        </w:rPr>
      </w:r>
    </w:p>
    <w:p>
      <w:pPr>
        <w:pStyle w:val="Normal"/>
        <w:widowControl/>
        <w:rPr>
          <w:b/>
        </w:rPr>
      </w:pPr>
      <w:r>
        <w:rPr>
          <w:b/>
        </w:rPr>
        <w:tab/>
      </w:r>
      <w:r>
        <w:rPr>
          <w:b/>
          <w:u w:val="single"/>
        </w:rPr>
        <w:t>EVENTS OF DEFAULT – Change of Ownership</w:t>
      </w:r>
    </w:p>
    <w:p>
      <w:pPr>
        <w:pStyle w:val="Header"/>
        <w:widowControl/>
        <w:rPr>
          <w:b/>
        </w:rPr>
      </w:pPr>
      <w:r>
        <w:rPr>
          <w:b/>
        </w:rPr>
      </w:r>
    </w:p>
    <w:p>
      <w:pPr>
        <w:pStyle w:val="Header"/>
        <w:widowControl/>
        <w:jc w:val="center"/>
        <w:rPr>
          <w:b/>
        </w:rPr>
      </w:pPr>
      <w:r>
        <w:rPr>
          <w:b/>
        </w:rPr>
        <w:t>[Insert at the end of “Part 1.  Termination Provisions and Certain Other Matters” in the Schedule to the ISDA Master Agreement (Multicurrency-Cross Border)]</w:t>
      </w:r>
    </w:p>
    <w:p>
      <w:pPr>
        <w:pStyle w:val="Header"/>
        <w:widowControl/>
        <w:rPr>
          <w:b/>
        </w:rPr>
      </w:pPr>
      <w:r>
        <w:rPr>
          <w:b/>
        </w:rPr>
      </w:r>
    </w:p>
    <w:p>
      <w:pPr>
        <w:pStyle w:val="Normal"/>
        <w:widowControl/>
        <w:spacing w:lineRule="atLeast" w:line="240"/>
        <w:ind w:start="720" w:end="0"/>
        <w:jc w:val="both"/>
        <w:rPr/>
      </w:pPr>
      <w:r>
        <w:rPr/>
        <w:t>(__)</w:t>
        <w:tab/>
        <w:t>in the case of Party B, if _____________ ceases to own directly or indirectly, fifty-one percent (51%) or more of the outstanding capital stock or other equity interests of Party B having ordinary voting power.</w:t>
      </w:r>
    </w:p>
    <w:p>
      <w:pPr>
        <w:pStyle w:val="Header"/>
        <w:widowControl/>
        <w:rPr/>
      </w:pPr>
      <w:r>
        <w:rPr/>
      </w:r>
    </w:p>
    <w:p>
      <w:pPr>
        <w:pStyle w:val="Header"/>
        <w:widowControl/>
        <w:tabs>
          <w:tab w:val="left" w:pos="720" w:leader="none"/>
          <w:tab w:val="center" w:pos="4320" w:leader="none"/>
          <w:tab w:val="right" w:pos="8640" w:leader="none"/>
        </w:tabs>
        <w:rPr>
          <w:b/>
        </w:rPr>
      </w:pPr>
      <w:r>
        <w:rPr>
          <w:b/>
        </w:rPr>
        <w:tab/>
      </w:r>
      <w:r>
        <w:rPr>
          <w:b/>
          <w:u w:val="single"/>
        </w:rPr>
        <w:t>MARKET QUOTATION vs. LOSS</w:t>
      </w:r>
    </w:p>
    <w:p>
      <w:pPr>
        <w:pStyle w:val="Header"/>
        <w:widowControl/>
        <w:rPr>
          <w:b/>
        </w:rPr>
      </w:pPr>
      <w:r>
        <w:rPr>
          <w:b/>
        </w:rPr>
      </w:r>
    </w:p>
    <w:p>
      <w:pPr>
        <w:pStyle w:val="Header"/>
        <w:widowControl/>
        <w:rPr>
          <w:b/>
        </w:rPr>
      </w:pPr>
      <w:r>
        <w:rPr>
          <w:b/>
        </w:rPr>
        <w:t>Choice 1:  Use this language when our counterparty is an energy company that insists on Market Quotation</w:t>
      </w:r>
    </w:p>
    <w:p>
      <w:pPr>
        <w:pStyle w:val="Header"/>
        <w:widowControl/>
        <w:rPr>
          <w:b/>
        </w:rPr>
      </w:pPr>
      <w:r>
        <w:rPr>
          <w:b/>
        </w:rPr>
      </w:r>
    </w:p>
    <w:p>
      <w:pPr>
        <w:pStyle w:val="Normal"/>
        <w:widowControl/>
        <w:spacing w:lineRule="exact" w:line="240"/>
        <w:ind w:start="86" w:end="0"/>
        <w:jc w:val="both"/>
        <w:rPr/>
      </w:pPr>
      <w:r>
        <w:rPr/>
        <w:t>Market Quotation will apply to any Transaction with a Termination Date two years or less from the Early Termination Date, Loss will apply to any other Transaction.</w:t>
      </w:r>
    </w:p>
    <w:p>
      <w:pPr>
        <w:pStyle w:val="Header"/>
        <w:widowControl/>
        <w:rPr/>
      </w:pPr>
      <w:r>
        <w:rPr/>
      </w:r>
    </w:p>
    <w:p>
      <w:pPr>
        <w:pStyle w:val="Header"/>
        <w:widowControl/>
        <w:rPr>
          <w:b/>
        </w:rPr>
      </w:pPr>
      <w:r>
        <w:rPr>
          <w:b/>
        </w:rPr>
        <w:t>Choice 2:  We use this language when our counterparty is bank or dealer that requests Market Quotation for interest rate/currency transactions, but will compromise on energy transactions</w:t>
      </w:r>
    </w:p>
    <w:p>
      <w:pPr>
        <w:pStyle w:val="Header"/>
        <w:widowControl/>
        <w:rPr>
          <w:b/>
        </w:rPr>
      </w:pPr>
      <w:r>
        <w:rPr>
          <w:b/>
        </w:rPr>
      </w:r>
    </w:p>
    <w:p>
      <w:pPr>
        <w:pStyle w:val="Header"/>
        <w:widowControl/>
        <w:jc w:val="both"/>
        <w:rPr/>
      </w:pPr>
      <w:r>
        <w:rPr/>
        <w:t xml:space="preserve">Market Quotation will apply; </w:t>
      </w:r>
      <w:r>
        <w:rPr>
          <w:u w:val="single"/>
        </w:rPr>
        <w:t>provided</w:t>
      </w:r>
      <w:r>
        <w:rPr/>
        <w:t xml:space="preserve">, </w:t>
      </w:r>
      <w:r>
        <w:rPr>
          <w:u w:val="single"/>
        </w:rPr>
        <w:t>however</w:t>
      </w:r>
      <w:r>
        <w:rPr/>
        <w:t>, that with respect to any Transaction that is a commodity swap, cross commodity swap, commodity cap, commodity floor, commodity collar, commodity option or any other similar transaction (including any option with respect to any of the foregoing or any combination of these transactions, Loss will apply, and (ii) the Second Method will apply.</w:t>
      </w:r>
    </w:p>
    <w:p>
      <w:pPr>
        <w:pStyle w:val="Header"/>
        <w:widowControl/>
        <w:rPr/>
      </w:pPr>
      <w:r>
        <w:rPr/>
      </w:r>
    </w:p>
    <w:p>
      <w:pPr>
        <w:pStyle w:val="Header"/>
        <w:widowControl/>
        <w:rPr>
          <w:b/>
          <w:u w:val="single"/>
        </w:rPr>
      </w:pPr>
      <w:r>
        <w:rPr>
          <w:b/>
          <w:u w:val="single"/>
        </w:rPr>
        <w:t>PARI PASSU LANGUAGE</w:t>
      </w:r>
    </w:p>
    <w:p>
      <w:pPr>
        <w:pStyle w:val="Header"/>
        <w:widowControl/>
        <w:rPr>
          <w:b/>
          <w:u w:val="single"/>
        </w:rPr>
      </w:pPr>
      <w:r>
        <w:rPr>
          <w:b/>
          <w:u w:val="single"/>
        </w:rPr>
      </w:r>
    </w:p>
    <w:p>
      <w:pPr>
        <w:pStyle w:val="Header"/>
        <w:widowControl/>
        <w:rPr>
          <w:b/>
        </w:rPr>
      </w:pPr>
      <w:r>
        <w:rPr>
          <w:b/>
        </w:rPr>
        <w:t>[Insert in Part 5, Other Provisions]</w:t>
      </w:r>
    </w:p>
    <w:p>
      <w:pPr>
        <w:pStyle w:val="Normal"/>
        <w:spacing w:lineRule="exact" w:line="240" w:before="240" w:after="0"/>
        <w:ind w:firstLine="720" w:end="0"/>
        <w:jc w:val="both"/>
        <w:rPr/>
      </w:pPr>
      <w:r>
        <w:rPr/>
        <w:t>(b)</w:t>
        <w:tab/>
      </w:r>
      <w:r>
        <w:rPr>
          <w:b/>
        </w:rPr>
        <w:t>Pari Passu Obligations.</w:t>
      </w:r>
      <w:r>
        <w:rPr/>
        <w:t xml:space="preserve">  Section 2(a) of the Agreement is modified to include the following provision:</w:t>
      </w:r>
    </w:p>
    <w:p>
      <w:pPr>
        <w:pStyle w:val="BodyTextIndent2"/>
        <w:widowControl/>
        <w:tabs>
          <w:tab w:val="clear" w:pos="1350"/>
        </w:tabs>
        <w:spacing w:lineRule="exact" w:line="240" w:before="240" w:after="0"/>
        <w:ind w:hanging="0" w:start="720" w:end="0"/>
        <w:rPr>
          <w:rFonts w:ascii="Times New Roman" w:hAnsi="Times New Roman" w:cs="Times New Roman"/>
        </w:rPr>
      </w:pPr>
      <w:r>
        <w:rPr>
          <w:rFonts w:cs="Times New Roman" w:ascii="Times New Roman" w:hAnsi="Times New Roman"/>
        </w:rPr>
        <w:t>“</w:t>
      </w:r>
      <w:r>
        <w:rPr>
          <w:rFonts w:cs="Times New Roman" w:ascii="Times New Roman" w:hAnsi="Times New Roman"/>
        </w:rPr>
        <w:t>(iv)</w:t>
        <w:tab/>
        <w:t>Each party covenants with the other that it will ensure that its payment obligations hereunder rank at all times pari passu in all respects with all of its other unsecured senior obligations (except for those which are preferred by operation of law)”.</w:t>
      </w:r>
    </w:p>
    <w:p>
      <w:pPr>
        <w:pStyle w:val="Header"/>
        <w:widowControl/>
        <w:rPr>
          <w:rFonts w:ascii="Times New Roman" w:hAnsi="Times New Roman" w:cs="Times New Roman"/>
        </w:rPr>
      </w:pPr>
      <w:r>
        <w:rPr>
          <w:rFonts w:cs="Times New Roman"/>
        </w:rPr>
      </w:r>
    </w:p>
    <w:p>
      <w:pPr>
        <w:pStyle w:val="Normal"/>
        <w:widowControl/>
        <w:rPr>
          <w:b/>
        </w:rPr>
      </w:pPr>
      <w:r>
        <w:rPr>
          <w:b/>
          <w:u w:val="single"/>
        </w:rPr>
        <w:t>CREDIT PROVISIONS</w:t>
      </w:r>
    </w:p>
    <w:p>
      <w:pPr>
        <w:pStyle w:val="Header"/>
        <w:widowControl/>
        <w:rPr>
          <w:b/>
        </w:rPr>
      </w:pPr>
      <w:r>
        <w:rPr>
          <w:b/>
        </w:rPr>
      </w:r>
    </w:p>
    <w:p>
      <w:pPr>
        <w:pStyle w:val="Normal"/>
        <w:widowControl/>
        <w:jc w:val="both"/>
        <w:rPr>
          <w:b/>
          <w:u w:val="single"/>
        </w:rPr>
      </w:pPr>
      <w:r>
        <w:rPr>
          <w:b/>
        </w:rPr>
        <w:tab/>
        <w:t>COLLATERAL THRESHOLDS (“unlimited” threshold for ECT, zero for Counterparty”)</w:t>
      </w:r>
    </w:p>
    <w:p>
      <w:pPr>
        <w:pStyle w:val="Header"/>
        <w:widowControl/>
        <w:rPr>
          <w:b/>
          <w:u w:val="single"/>
        </w:rPr>
      </w:pPr>
      <w:r>
        <w:rPr>
          <w:b/>
          <w:u w:val="single"/>
        </w:rPr>
      </w:r>
    </w:p>
    <w:p>
      <w:pPr>
        <w:pStyle w:val="Normal"/>
        <w:widowControl/>
        <w:tabs>
          <w:tab w:val="left" w:pos="720" w:leader="none"/>
        </w:tabs>
        <w:spacing w:lineRule="atLeast" w:line="240"/>
        <w:ind w:hanging="1440" w:start="1440" w:end="0"/>
        <w:jc w:val="both"/>
        <w:rPr/>
      </w:pPr>
      <w:r>
        <w:rPr>
          <w:rFonts w:cs="Arial Narrow" w:ascii="Arial Narrow" w:hAnsi="Arial Narrow"/>
        </w:rPr>
        <w:tab/>
        <w:t>(b)</w:t>
        <w:tab/>
        <w:t>"</w:t>
      </w:r>
      <w:r>
        <w:rPr>
          <w:rFonts w:cs="Arial Narrow" w:ascii="Arial Narrow" w:hAnsi="Arial Narrow"/>
          <w:u w:val="single"/>
        </w:rPr>
        <w:t>Exposure Threshold</w:t>
      </w:r>
      <w:r>
        <w:rPr>
          <w:rFonts w:cs="Arial Narrow" w:ascii="Arial Narrow" w:hAnsi="Arial Narrow"/>
        </w:rPr>
        <w:t>" shall mean, with respect to (i) ECT, an amount equal to Counterparty’s Net Exposure, and (ii) Counterparty, zero;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with respect to such party.  The Exposure Threshold assigned to a party shall be the threshold applied to such party for all Swaps.</w:t>
      </w:r>
    </w:p>
    <w:p>
      <w:pPr>
        <w:pStyle w:val="Header"/>
        <w:widowControl/>
        <w:rPr>
          <w:rFonts w:ascii="Arial Narrow" w:hAnsi="Arial Narrow" w:cs="Arial Narrow"/>
        </w:rPr>
      </w:pPr>
      <w:r>
        <w:rPr>
          <w:rFonts w:cs="Arial Narrow" w:ascii="Arial Narrow" w:hAnsi="Arial Narrow"/>
        </w:rPr>
      </w:r>
    </w:p>
    <w:p>
      <w:pPr>
        <w:pStyle w:val="Header"/>
        <w:widowControl/>
        <w:rPr/>
      </w:pPr>
      <w:r>
        <w:rPr/>
      </w:r>
    </w:p>
    <w:p>
      <w:pPr>
        <w:pStyle w:val="Header"/>
        <w:widowControl/>
        <w:rPr>
          <w:b/>
          <w:u w:val="single"/>
        </w:rPr>
      </w:pPr>
      <w:r>
        <w:rPr>
          <w:b/>
          <w:u w:val="single"/>
        </w:rPr>
        <w:t>INTERNATIONAL ARBITRATION</w:t>
      </w:r>
    </w:p>
    <w:p>
      <w:pPr>
        <w:pStyle w:val="Header"/>
        <w:widowControl/>
        <w:rPr/>
      </w:pPr>
      <w:r>
        <w:rPr/>
      </w:r>
    </w:p>
    <w:p>
      <w:pPr>
        <w:pStyle w:val="Normal"/>
        <w:widowControl/>
        <w:spacing w:lineRule="atLeast" w:line="240"/>
        <w:ind w:start="720" w:end="0"/>
        <w:jc w:val="both"/>
        <w:rPr/>
      </w:pPr>
      <w:r>
        <w:rPr>
          <w:rFonts w:cs="Tms Rmn" w:ascii="Tms Rmn" w:hAnsi="Tms Rmn"/>
          <w:color w:val="000000"/>
        </w:rPr>
        <w:t xml:space="preserve">(b) </w:t>
        <w:tab/>
      </w:r>
      <w:r>
        <w:rPr>
          <w:b/>
          <w:color w:val="000000"/>
        </w:rPr>
        <w:t>Agreement To Arbitrate and Selection Of Arbitrators:</w:t>
      </w:r>
      <w:r>
        <w:rPr>
          <w:color w:val="000000"/>
        </w:rPr>
        <w:t xml:space="preserve">  All disputes arising in connection with the present contract shall be finally settled under the Rules of Arbitration of the International Chamber of Commerce (the “Rules”) by three arbitrators.  Each party shall nominate one arbitrator who together shall then agree on a third arbitrator within thirty days of their confirmation.  The third arbitrator shall be a person who has over eight years professional experience in over-the-counter derivative products.</w:t>
      </w:r>
    </w:p>
    <w:p>
      <w:pPr>
        <w:pStyle w:val="Normal"/>
        <w:widowControl/>
        <w:spacing w:lineRule="atLeast" w:line="240"/>
        <w:ind w:start="720" w:end="0"/>
        <w:jc w:val="both"/>
        <w:rPr>
          <w:color w:val="000000"/>
        </w:rPr>
      </w:pPr>
      <w:r>
        <w:rPr>
          <w:color w:val="000000"/>
        </w:rPr>
      </w:r>
    </w:p>
    <w:p>
      <w:pPr>
        <w:pStyle w:val="Normal"/>
        <w:widowControl/>
        <w:spacing w:lineRule="atLeast" w:line="240"/>
        <w:ind w:start="720" w:end="0"/>
        <w:jc w:val="both"/>
        <w:rPr/>
      </w:pPr>
      <w:r>
        <w:rPr>
          <w:b/>
          <w:color w:val="000000"/>
        </w:rPr>
        <w:tab/>
        <w:t>Governing Law, And Authority Of The Arbitrators:</w:t>
      </w:r>
      <w:r>
        <w:rPr>
          <w:color w:val="000000"/>
        </w:rPr>
        <w:t xml:space="preserve">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the law of any jurisdiction, or under the Rules, the parties hereby waiving their right, if any, to recover any such damages.</w:t>
      </w:r>
    </w:p>
    <w:p>
      <w:pPr>
        <w:pStyle w:val="Normal"/>
        <w:widowControl/>
        <w:spacing w:lineRule="atLeast" w:line="240"/>
        <w:ind w:start="720" w:end="0"/>
        <w:jc w:val="both"/>
        <w:rPr>
          <w:color w:val="000000"/>
        </w:rPr>
      </w:pPr>
      <w:r>
        <w:rPr>
          <w:color w:val="000000"/>
        </w:rPr>
      </w:r>
    </w:p>
    <w:p>
      <w:pPr>
        <w:pStyle w:val="Normal"/>
        <w:widowControl/>
        <w:spacing w:lineRule="atLeast" w:line="240"/>
        <w:ind w:start="720" w:end="0"/>
        <w:jc w:val="both"/>
        <w:rPr/>
      </w:pPr>
      <w:r>
        <w:rPr>
          <w:b/>
          <w:color w:val="000000"/>
        </w:rPr>
        <w:tab/>
        <w:t>Forum and Language For The Arbitration:</w:t>
      </w:r>
      <w:r>
        <w:rPr>
          <w:color w:val="000000"/>
        </w:rPr>
        <w:t xml:space="preserve">  The arbitration proceeding shall be conducted in New York, New York and the language of such proceedings shall be in English.</w:t>
      </w:r>
    </w:p>
    <w:p>
      <w:pPr>
        <w:pStyle w:val="Normal"/>
        <w:widowControl/>
        <w:spacing w:lineRule="atLeast" w:line="240"/>
        <w:ind w:start="720" w:end="0"/>
        <w:jc w:val="both"/>
        <w:rPr>
          <w:color w:val="000000"/>
        </w:rPr>
      </w:pPr>
      <w:r>
        <w:rPr>
          <w:color w:val="000000"/>
        </w:rPr>
      </w:r>
    </w:p>
    <w:p>
      <w:pPr>
        <w:pStyle w:val="Normal"/>
        <w:widowControl/>
        <w:ind w:start="720" w:end="0"/>
        <w:jc w:val="both"/>
        <w:rPr/>
      </w:pPr>
      <w:r>
        <w:rPr>
          <w:b/>
          <w:color w:val="000000"/>
        </w:rPr>
        <w:tab/>
        <w:t>Confidentiality:</w:t>
      </w:r>
      <w:r>
        <w:rPr>
          <w:color w:val="000000"/>
        </w:rPr>
        <w:t xml:space="preserve">  To the fullest extent permitted by law, any arbitration proceeding and the arbitrators award shall be maintained in confidence by the parties."</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Header"/>
        <w:widowControl/>
        <w:ind w:start="720" w:end="0"/>
        <w:rPr/>
      </w:pPr>
      <w:r>
        <w:rPr/>
      </w:r>
    </w:p>
    <w:p>
      <w:pPr>
        <w:pStyle w:val="Normal"/>
        <w:widowControl/>
        <w:spacing w:lineRule="atLeast" w:line="240"/>
        <w:jc w:val="center"/>
        <w:rPr>
          <w:b/>
        </w:rPr>
      </w:pPr>
      <w:r>
        <w:rPr>
          <w:b/>
        </w:rPr>
        <w:t>ANNEX FOR SAMPLE CONTRACTS:</w:t>
      </w:r>
    </w:p>
    <w:p>
      <w:pPr>
        <w:pStyle w:val="Normal"/>
        <w:widowControl/>
        <w:spacing w:lineRule="atLeast" w:line="240"/>
        <w:jc w:val="center"/>
        <w:rPr/>
      </w:pPr>
      <w:r>
        <w:rPr/>
      </w:r>
    </w:p>
    <w:p>
      <w:pPr>
        <w:pStyle w:val="Normal"/>
        <w:widowControl/>
        <w:spacing w:lineRule="atLeast" w:line="240"/>
        <w:jc w:val="both"/>
        <w:rPr/>
      </w:pPr>
      <w:r>
        <w:rPr/>
        <w:t xml:space="preserve">The following is a list of Appendixes, Exhibits and Annexes that may be required in connection with this Agreement. </w:t>
      </w:r>
      <w:r>
        <w:rPr>
          <w:b/>
        </w:rPr>
        <w:t>Appendix “1”,</w:t>
      </w:r>
      <w:r>
        <w:rPr/>
        <w:t xml:space="preserve"> </w:t>
      </w:r>
      <w:r>
        <w:rPr>
          <w:b/>
        </w:rPr>
        <w:t>Exhibit “A”</w:t>
      </w:r>
      <w:r>
        <w:rPr/>
        <w:t xml:space="preserve"> and </w:t>
      </w:r>
      <w:r>
        <w:rPr>
          <w:b/>
        </w:rPr>
        <w:t>Exhibit “A-1”</w:t>
      </w:r>
      <w:r>
        <w:rPr/>
        <w:t xml:space="preserve"> are attached to this Sample Contract; the remaining Exhibits and Annexes are not.</w:t>
      </w:r>
    </w:p>
    <w:p>
      <w:pPr>
        <w:pStyle w:val="Normal"/>
        <w:widowControl/>
        <w:spacing w:lineRule="atLeast" w:line="240"/>
        <w:jc w:val="both"/>
        <w:rPr/>
      </w:pPr>
      <w:r>
        <w:rPr/>
      </w:r>
    </w:p>
    <w:p>
      <w:pPr>
        <w:pStyle w:val="Normal"/>
        <w:widowControl/>
        <w:spacing w:lineRule="atLeast" w:line="240"/>
        <w:ind w:start="720" w:end="0"/>
        <w:jc w:val="both"/>
        <w:rPr/>
      </w:pPr>
      <w:r>
        <w:rPr/>
        <w:t xml:space="preserve">APPENDIX "1" </w:t>
        <w:tab/>
        <w:t>DEFINED TERMS</w:t>
      </w:r>
    </w:p>
    <w:p>
      <w:pPr>
        <w:pStyle w:val="Normal"/>
        <w:widowControl/>
        <w:tabs>
          <w:tab w:val="left" w:pos="720" w:leader="none"/>
          <w:tab w:val="left" w:pos="2880" w:leader="none"/>
          <w:tab w:val="left" w:pos="9180" w:leader="dot"/>
          <w:tab w:val="right" w:pos="9540" w:leader="none"/>
        </w:tabs>
        <w:ind w:start="720" w:end="0"/>
        <w:rPr/>
      </w:pPr>
      <w:r>
        <w:rPr/>
        <w:t>EXHIBIT "A"</w:t>
        <w:tab/>
        <w:t>NOTICE AND COMMUNICATION</w:t>
      </w:r>
    </w:p>
    <w:p>
      <w:pPr>
        <w:pStyle w:val="Normal"/>
        <w:widowControl/>
        <w:tabs>
          <w:tab w:val="clear" w:pos="720"/>
          <w:tab w:val="left" w:pos="2880" w:leader="none"/>
        </w:tabs>
        <w:ind w:start="720" w:end="0"/>
        <w:rPr/>
      </w:pPr>
      <w:r>
        <w:rPr/>
        <w:t>EXHIBIT "A-1"</w:t>
        <w:tab/>
        <w:t>CONFIRMATION</w:t>
      </w:r>
    </w:p>
    <w:p>
      <w:pPr>
        <w:pStyle w:val="Normal"/>
        <w:widowControl/>
        <w:tabs>
          <w:tab w:val="clear" w:pos="720"/>
          <w:tab w:val="left" w:pos="2880" w:leader="none"/>
        </w:tabs>
        <w:ind w:start="720" w:end="0"/>
        <w:rPr/>
      </w:pPr>
      <w:r>
        <w:rPr/>
        <w:t>EXHIBIT "B-1"</w:t>
        <w:tab/>
        <w:t>GUARANTY (ECT)</w:t>
      </w:r>
    </w:p>
    <w:p>
      <w:pPr>
        <w:pStyle w:val="Normal"/>
        <w:widowControl/>
        <w:tabs>
          <w:tab w:val="clear" w:pos="720"/>
          <w:tab w:val="left" w:pos="2880" w:leader="none"/>
        </w:tabs>
        <w:ind w:start="720" w:end="0"/>
        <w:rPr/>
      </w:pPr>
      <w:r>
        <w:rPr/>
        <w:t>EXHIBIT "B-2"</w:t>
        <w:tab/>
        <w:t>GUARANTY (COUNTERPARTY)</w:t>
      </w:r>
    </w:p>
    <w:p>
      <w:pPr>
        <w:pStyle w:val="Normal"/>
        <w:widowControl/>
        <w:tabs>
          <w:tab w:val="clear" w:pos="720"/>
          <w:tab w:val="left" w:pos="2880" w:leader="none"/>
        </w:tabs>
        <w:ind w:hanging="2880" w:start="3600" w:end="0"/>
        <w:rPr/>
      </w:pPr>
      <w:r>
        <w:rPr/>
        <w:t>EXHIBIT "C"-"C-4"</w:t>
        <w:tab/>
        <w:t>IRREVOCABLE TRANSFERABLE STANDBY LETTER</w:t>
      </w:r>
    </w:p>
    <w:p>
      <w:pPr>
        <w:pStyle w:val="Normal"/>
        <w:widowControl/>
        <w:tabs>
          <w:tab w:val="clear" w:pos="720"/>
          <w:tab w:val="left" w:pos="2880" w:leader="none"/>
        </w:tabs>
        <w:ind w:hanging="2880" w:start="3600" w:end="0"/>
        <w:rPr/>
      </w:pPr>
      <w:r>
        <w:rPr/>
        <w:tab/>
        <w:t>OF CREDIT AND CERTIFICATES THERETO</w:t>
      </w:r>
    </w:p>
    <w:p>
      <w:pPr>
        <w:pStyle w:val="Normal"/>
        <w:widowControl/>
        <w:tabs>
          <w:tab w:val="clear" w:pos="720"/>
          <w:tab w:val="left" w:pos="2880" w:leader="none"/>
        </w:tabs>
        <w:ind w:hanging="2880" w:start="3600" w:end="0"/>
        <w:rPr/>
      </w:pPr>
      <w:r>
        <w:rPr/>
        <w:t>EXHIBIT "D"</w:t>
        <w:tab/>
        <w:t>LITIGATION REPRESENTATION SCHEDULE</w:t>
      </w:r>
    </w:p>
    <w:p>
      <w:pPr>
        <w:pStyle w:val="Normal"/>
        <w:widowControl/>
        <w:tabs>
          <w:tab w:val="clear" w:pos="720"/>
          <w:tab w:val="left" w:pos="2880" w:leader="none"/>
        </w:tabs>
        <w:ind w:hanging="2880" w:start="3600" w:end="0"/>
        <w:rPr/>
      </w:pPr>
      <w:r>
        <w:rPr/>
        <w:t>EXHIBIT "E"</w:t>
        <w:tab/>
        <w:t>CERTIFICATE OF COMPLIANCE</w:t>
      </w:r>
    </w:p>
    <w:p>
      <w:pPr>
        <w:pStyle w:val="Normal"/>
        <w:widowControl/>
        <w:tabs>
          <w:tab w:val="clear" w:pos="720"/>
          <w:tab w:val="left" w:pos="2880" w:leader="none"/>
        </w:tabs>
        <w:ind w:hanging="2880" w:start="3600" w:end="0"/>
        <w:rPr/>
      </w:pPr>
      <w:r>
        <w:rPr/>
        <w:t>ANNEX "A"</w:t>
        <w:tab/>
        <w:t>COLLATERAL ANNEX</w:t>
      </w:r>
    </w:p>
    <w:p>
      <w:pPr>
        <w:pStyle w:val="Normal"/>
        <w:widowControl/>
        <w:spacing w:lineRule="atLeast" w:line="240"/>
        <w:jc w:val="both"/>
        <w:rPr/>
      </w:pPr>
      <w:r>
        <w:rPr/>
      </w:r>
    </w:p>
    <w:p>
      <w:pPr>
        <w:pStyle w:val="Normal"/>
        <w:widowControl/>
        <w:spacing w:lineRule="atLeast" w:line="240"/>
        <w:jc w:val="both"/>
        <w:rPr/>
      </w:pPr>
      <w:r>
        <w:rPr>
          <w:b/>
        </w:rPr>
        <w:t>ANNEX “A”, the Collateral Annex</w:t>
      </w:r>
      <w:r>
        <w:rPr/>
        <w:t>, will set forth terms pursuant to which Counterparty and/or ECT will be required to post collateral with the other party in order to secure its obligations, under the Master Agreement.  Terms contained in the Collateral Annex include the dollar level of exposure at which a party will be required to post collateral (the Threshold Amount), types of collateral eligible to be posted, and manner of  holding collateral.</w:t>
      </w:r>
    </w:p>
    <w:p>
      <w:pPr>
        <w:pStyle w:val="Normal"/>
        <w:widowControl/>
        <w:spacing w:lineRule="atLeast" w:line="240"/>
        <w:jc w:val="both"/>
        <w:rPr/>
      </w:pPr>
      <w:r>
        <w:rPr/>
      </w:r>
    </w:p>
    <w:p>
      <w:pPr>
        <w:pStyle w:val="Normal"/>
        <w:widowControl/>
        <w:spacing w:lineRule="atLeast" w:line="240"/>
        <w:jc w:val="both"/>
        <w:rPr/>
      </w:pPr>
      <w:r>
        <w:rPr>
          <w:b/>
        </w:rPr>
        <w:t>EXHIBIT “B-1” and “B-2”, GUARANTIES</w:t>
      </w:r>
      <w:r>
        <w:rPr/>
        <w:t xml:space="preserve"> may be required if either or both of ECT and Counterparty is required to provide a parent Guaranty of obligations under the Master Agreement to the other party.  These issues will be determined after a credit review of Counterparty.</w:t>
      </w:r>
    </w:p>
    <w:p>
      <w:pPr>
        <w:pStyle w:val="Normal"/>
        <w:widowControl/>
        <w:spacing w:lineRule="atLeast" w:line="240"/>
        <w:jc w:val="both"/>
        <w:rPr/>
      </w:pPr>
      <w:r>
        <w:rPr/>
      </w:r>
    </w:p>
    <w:p>
      <w:pPr>
        <w:pStyle w:val="Normal"/>
        <w:widowControl/>
        <w:spacing w:lineRule="atLeast" w:line="240"/>
        <w:jc w:val="both"/>
        <w:rPr/>
      </w:pPr>
      <w:r>
        <w:rPr>
          <w:b/>
        </w:rPr>
        <w:t>EXHIBIT “C” - “C-4”, IRREVOCABLE TRANSFERABLE STANDBY LETTER OF CREDIT AND CERTIFICATES THERETO</w:t>
      </w:r>
      <w:r>
        <w:rPr/>
        <w:t>, may be required if either or both of ECT or Counterparty is permitted to provide Letters of Credit as a form of collateral under the Collateral Annex.</w:t>
      </w:r>
    </w:p>
    <w:p>
      <w:pPr>
        <w:pStyle w:val="Normal"/>
        <w:widowControl/>
        <w:spacing w:lineRule="atLeast" w:line="240"/>
        <w:jc w:val="both"/>
        <w:rPr/>
      </w:pPr>
      <w:r>
        <w:rPr/>
      </w:r>
    </w:p>
    <w:p>
      <w:pPr>
        <w:pStyle w:val="Normal"/>
        <w:widowControl/>
        <w:spacing w:lineRule="atLeast" w:line="240"/>
        <w:jc w:val="both"/>
        <w:rPr/>
      </w:pPr>
      <w:r>
        <w:rPr>
          <w:b/>
        </w:rPr>
        <w:t>EXHIBIT “D”, LITIGATION REPRESENTATION SCHEDULE</w:t>
      </w:r>
      <w:r>
        <w:rPr/>
        <w:t>, may be required based upon the parties making the representations and warranties in Section 4 of the Agreement.</w:t>
      </w:r>
    </w:p>
    <w:p>
      <w:pPr>
        <w:pStyle w:val="Normal"/>
        <w:widowControl/>
        <w:spacing w:lineRule="atLeast" w:line="240"/>
        <w:jc w:val="both"/>
        <w:rPr/>
      </w:pPr>
      <w:r>
        <w:rPr/>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Normal"/>
        <w:widowControl/>
        <w:spacing w:lineRule="atLeast" w:line="240"/>
        <w:jc w:val="both"/>
        <w:rPr/>
      </w:pPr>
      <w:r>
        <w:rPr>
          <w:b/>
        </w:rPr>
        <w:t>EXHIBIT “E”, CERTIFICATE OF COMPLIANCE</w:t>
      </w:r>
      <w:r>
        <w:rPr/>
        <w:t>, may be required based upon the definition of Material Adverse Change.  The Material Adverse Change language will be determined after a credit review of Counterparty.</w:t>
      </w:r>
    </w:p>
    <w:p>
      <w:pPr>
        <w:pStyle w:val="Normal"/>
        <w:widowControl/>
        <w:jc w:val="center"/>
        <w:rPr>
          <w:b/>
          <w:u w:val="single"/>
        </w:rPr>
      </w:pPr>
      <w:r>
        <w:rPr>
          <w:b/>
          <w:u w:val="single"/>
        </w:rPr>
        <w:t>INTERNATIONAL ISDA AGREEMENTS</w:t>
      </w:r>
    </w:p>
    <w:p>
      <w:pPr>
        <w:pStyle w:val="Normal"/>
        <w:widowControl/>
        <w:jc w:val="center"/>
        <w:rPr>
          <w:b/>
          <w:u w:val="single"/>
        </w:rPr>
      </w:pPr>
      <w:r>
        <w:rPr>
          <w:b/>
          <w:u w:val="single"/>
        </w:rPr>
      </w:r>
    </w:p>
    <w:p>
      <w:pPr>
        <w:pStyle w:val="Normal"/>
        <w:widowControl/>
        <w:jc w:val="center"/>
        <w:rPr>
          <w:b/>
        </w:rPr>
      </w:pPr>
      <w:r>
        <w:rPr>
          <w:b/>
        </w:rPr>
        <w:t>LEGAL, CREDIT AND OTHER SPECIAL PROVISIONS</w:t>
      </w:r>
    </w:p>
    <w:p>
      <w:pPr>
        <w:pStyle w:val="Normal"/>
        <w:widowControl/>
        <w:jc w:val="center"/>
        <w:rPr>
          <w:b/>
        </w:rPr>
      </w:pPr>
      <w:r>
        <w:rPr>
          <w:b/>
        </w:rPr>
      </w:r>
    </w:p>
    <w:p>
      <w:pPr>
        <w:pStyle w:val="Normal"/>
        <w:widowControl/>
        <w:jc w:val="center"/>
        <w:rPr>
          <w:b/>
        </w:rPr>
      </w:pPr>
      <w:r>
        <w:rPr>
          <w:b/>
        </w:rPr>
        <w:t>[TO BE INSERTED IF APPLICABLE]</w:t>
      </w:r>
    </w:p>
    <w:p>
      <w:pPr>
        <w:pStyle w:val="Header"/>
        <w:widowControl/>
        <w:rPr>
          <w:b/>
        </w:rPr>
      </w:pPr>
      <w:r>
        <w:rPr>
          <w:b/>
        </w:rPr>
      </w:r>
    </w:p>
    <w:p>
      <w:pPr>
        <w:pStyle w:val="Header"/>
        <w:widowControl/>
        <w:rPr/>
      </w:pPr>
      <w:r>
        <w:rPr/>
      </w:r>
    </w:p>
    <w:p>
      <w:pPr>
        <w:pStyle w:val="Header"/>
        <w:widowControl/>
        <w:rPr>
          <w:b/>
        </w:rPr>
      </w:pPr>
      <w:r>
        <w:rPr>
          <w:b/>
        </w:rPr>
        <w:t>ARGENTINA</w:t>
      </w:r>
    </w:p>
    <w:p>
      <w:pPr>
        <w:pStyle w:val="Header"/>
        <w:widowControl/>
        <w:rPr>
          <w:b/>
        </w:rPr>
      </w:pPr>
      <w:r>
        <w:rPr>
          <w:b/>
        </w:rPr>
      </w:r>
    </w:p>
    <w:p>
      <w:pPr>
        <w:pStyle w:val="Header"/>
        <w:widowControl/>
        <w:rPr/>
      </w:pPr>
      <w:r>
        <w:rPr>
          <w:b/>
        </w:rPr>
        <w:t>Part 3.  Agreement to Deliver Documents:</w:t>
      </w:r>
      <w:r>
        <w:rPr/>
        <w:t xml:space="preserve">  The following should replace the section that requires the provision of the articles of incorporation and bylaws of each of the parties:</w:t>
      </w:r>
    </w:p>
    <w:p>
      <w:pPr>
        <w:pStyle w:val="Header"/>
        <w:widowControl/>
        <w:rPr/>
      </w:pPr>
      <w:r>
        <w:rPr/>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widowControl/>
              <w:spacing w:lineRule="atLeast" w:line="240" w:before="240" w:after="0"/>
              <w:jc w:val="both"/>
              <w:rPr/>
            </w:pPr>
            <w:r>
              <w:rPr/>
              <w:t>Party A and Party B</w:t>
            </w:r>
          </w:p>
        </w:tc>
        <w:tc>
          <w:tcPr>
            <w:tcW w:w="4104" w:type="dxa"/>
            <w:tcBorders/>
          </w:tcPr>
          <w:p>
            <w:pPr>
              <w:pStyle w:val="Normal"/>
              <w:widowControl/>
              <w:spacing w:lineRule="atLeast" w:line="240" w:before="240" w:after="0"/>
              <w:jc w:val="both"/>
              <w:rPr/>
            </w:pPr>
            <w:r>
              <w:rPr/>
              <w:t>A Power of Attorney or 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In addition, Party B shall furnish a certified copy of the bylaws (</w:t>
            </w:r>
            <w:r>
              <w:rPr>
                <w:i/>
              </w:rPr>
              <w:t>estatutos</w:t>
            </w:r>
            <w:r>
              <w:rPr/>
              <w:t>) of Party B and a certified copy of the bylaws (</w:t>
            </w:r>
            <w:r>
              <w:rPr>
                <w:i/>
              </w:rPr>
              <w:t>estatutos</w:t>
            </w:r>
            <w:r>
              <w:rPr/>
              <w:t>) of Party B’s Credit Support Provider.</w:t>
            </w:r>
          </w:p>
        </w:tc>
        <w:tc>
          <w:tcPr>
            <w:tcW w:w="2340" w:type="dxa"/>
            <w:tcBorders/>
          </w:tcPr>
          <w:p>
            <w:pPr>
              <w:pStyle w:val="Normal"/>
              <w:widowControl/>
              <w:spacing w:lineRule="atLeast" w:line="240" w:before="240" w:after="0"/>
              <w:jc w:val="both"/>
              <w:rPr>
                <w:b/>
              </w:rPr>
            </w:pPr>
            <w:r>
              <w:rPr/>
              <w:t>At execution of this Agreement</w:t>
            </w:r>
          </w:p>
        </w:tc>
        <w:tc>
          <w:tcPr>
            <w:tcW w:w="1926" w:type="dxa"/>
            <w:tcBorders/>
          </w:tcPr>
          <w:p>
            <w:pPr>
              <w:pStyle w:val="Normal"/>
              <w:widowControl/>
              <w:spacing w:lineRule="atLeast" w:line="240" w:before="240" w:after="0"/>
              <w:jc w:val="both"/>
              <w:rPr>
                <w:b/>
              </w:rPr>
            </w:pPr>
            <w:r>
              <w:rPr/>
              <w:t>Yes</w:t>
            </w:r>
          </w:p>
        </w:tc>
      </w:tr>
    </w:tbl>
    <w:p>
      <w:pPr>
        <w:pStyle w:val="Header"/>
        <w:widowControl/>
        <w:rPr/>
      </w:pPr>
      <w:r>
        <w:rPr/>
      </w:r>
    </w:p>
    <w:p>
      <w:pPr>
        <w:pStyle w:val="Normal"/>
        <w:widowControl/>
        <w:spacing w:lineRule="exact" w:line="240" w:before="240" w:after="0"/>
        <w:jc w:val="both"/>
        <w:rPr/>
      </w:pPr>
      <w:r>
        <w:rPr>
          <w:b/>
        </w:rPr>
        <w:t>Part 5.  Other Provisions:</w:t>
      </w:r>
      <w:r>
        <w:rPr/>
        <w:t xml:space="preserve">  The following representation should be added to the end of the representations contained in subsection (b) of Part 5 (note:  remember to add the additional subsection to the introductory paragraph):</w:t>
      </w:r>
    </w:p>
    <w:p>
      <w:pPr>
        <w:pStyle w:val="Normal"/>
        <w:widowControl/>
        <w:spacing w:lineRule="exact" w:line="240" w:before="240" w:after="0"/>
        <w:ind w:firstLine="720" w:start="720" w:end="0"/>
        <w:jc w:val="both"/>
        <w:rPr/>
      </w:pPr>
      <w:r>
        <w:rPr/>
        <w:t>“</w:t>
      </w:r>
      <w:r>
        <w:rPr/>
        <w:t>(l)</w:t>
        <w:tab/>
      </w:r>
      <w:r>
        <w:rPr>
          <w:b/>
        </w:rPr>
        <w:t>Compliance with Argentina Law.</w:t>
      </w:r>
      <w:r>
        <w:rPr/>
        <w:t xml:space="preserve">  With respect to Party B only, this Agreement and the Credit Support Documents are in proper legal form for the enforcement thereof in Argentina against Party B and Party B's Credit Support Provider (to the extent each is a party thereto); provided that in the event any legal proceedings are brought in the courts of Argentina, a Spanish translation of the documents required in such proceedings, including this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Agreement or under any Transaction by the party subject to such restrictions shall nevertheless be made in U.S. dollars.  The party to this Agreement subject to the any such restrictions shall obtain U.S. dollars through (i) the sale of </w:t>
      </w:r>
      <w:r>
        <w:rPr>
          <w:i/>
        </w:rPr>
        <w:t>Bonos Externos de la Republica Argentina</w:t>
      </w:r>
      <w:r>
        <w:rPr/>
        <w:t xml:space="preserve">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Header"/>
        <w:widowControl/>
        <w:rPr/>
      </w:pPr>
      <w:r>
        <w:rPr/>
      </w:r>
    </w:p>
    <w:p>
      <w:pPr>
        <w:pStyle w:val="Header"/>
        <w:widowControl/>
        <w:rPr>
          <w:b/>
          <w:bCs/>
        </w:rPr>
      </w:pPr>
      <w:r>
        <w:rPr>
          <w:b/>
          <w:bCs/>
        </w:rPr>
        <w:t>CANADA</w:t>
      </w:r>
    </w:p>
    <w:p>
      <w:pPr>
        <w:pStyle w:val="Header"/>
        <w:widowControl/>
        <w:rPr>
          <w:b/>
          <w:bCs/>
        </w:rPr>
      </w:pPr>
      <w:r>
        <w:rPr>
          <w:b/>
          <w:bCs/>
        </w:rPr>
      </w:r>
    </w:p>
    <w:p>
      <w:pPr>
        <w:pStyle w:val="Normal"/>
        <w:widowControl/>
        <w:spacing w:lineRule="exact" w:line="240"/>
        <w:rPr/>
      </w:pPr>
      <w:r>
        <w:rPr>
          <w:b/>
        </w:rPr>
        <w:t xml:space="preserve">Canadian Default Interest Rates </w:t>
      </w:r>
      <w:r>
        <w:rPr>
          <w:b/>
          <w:caps/>
        </w:rPr>
        <w:t>(</w:t>
      </w:r>
      <w:r>
        <w:rPr>
          <w:b/>
        </w:rPr>
        <w:t>this was used in the Jolliet Energy Resources deal, fka Power Corp., and we have copied it for other deals)</w:t>
      </w:r>
    </w:p>
    <w:p>
      <w:pPr>
        <w:pStyle w:val="Normal"/>
        <w:widowControl/>
        <w:spacing w:lineRule="atLeast" w:line="240"/>
        <w:ind w:firstLine="720" w:end="0"/>
        <w:jc w:val="both"/>
        <w:rPr>
          <w:i/>
          <w:i/>
        </w:rPr>
      </w:pPr>
      <w:r>
        <w:rPr>
          <w:i/>
        </w:rPr>
      </w:r>
    </w:p>
    <w:p>
      <w:pPr>
        <w:pStyle w:val="Normal"/>
        <w:widowControl/>
        <w:spacing w:lineRule="atLeast" w:line="240"/>
        <w:ind w:firstLine="720" w:end="0"/>
        <w:jc w:val="both"/>
        <w:rPr/>
      </w:pPr>
      <w:r>
        <w:rPr>
          <w:i/>
        </w:rPr>
        <w:t>"</w:t>
      </w:r>
      <w:r>
        <w:rPr>
          <w:i/>
          <w:u w:val="single"/>
        </w:rPr>
        <w:t>Interest Rate</w:t>
      </w:r>
      <w:r>
        <w:rPr>
          <w:i/>
        </w:rPr>
        <w:t>"</w:t>
      </w:r>
      <w:r>
        <w:rPr/>
        <w:t xml:space="preserve"> shall mean, with respect to any calendar month or portion thereof, a rate equal to the lower of:</w:t>
      </w:r>
    </w:p>
    <w:p>
      <w:pPr>
        <w:pStyle w:val="Normal"/>
        <w:widowControl/>
        <w:spacing w:lineRule="atLeast" w:line="240"/>
        <w:ind w:firstLine="720" w:end="0"/>
        <w:jc w:val="both"/>
        <w:rPr/>
      </w:pPr>
      <w:r>
        <w:rPr/>
      </w:r>
    </w:p>
    <w:p>
      <w:pPr>
        <w:pStyle w:val="Normal"/>
        <w:widowControl/>
        <w:spacing w:lineRule="atLeast" w:line="240"/>
        <w:ind w:hanging="720" w:start="1440" w:end="0"/>
        <w:jc w:val="both"/>
        <w:rPr/>
      </w:pPr>
      <w:r>
        <w:rPr/>
        <w:t>(1)(a)</w:t>
        <w:tab/>
        <w:t xml:space="preserve">with respect to amounts payable in U.S. Dollars, the then effective base rate on corporate loans posted by commercial United States banks and listed under “Prime Rate” published under the section “Money Rates” by </w:t>
      </w:r>
      <w:r>
        <w:rPr>
          <w:u w:val="single"/>
        </w:rPr>
        <w:t>The Wall Street Journal</w:t>
      </w:r>
      <w:r>
        <w:rPr/>
        <w:t xml:space="preserve"> (Eastern Edition) on the first Business Day of the month (provided that if </w:t>
      </w:r>
      <w:r>
        <w:rPr>
          <w:u w:val="single"/>
        </w:rPr>
        <w:t>The Wall Street Journal</w:t>
      </w:r>
      <w:r>
        <w:rPr/>
        <w:t xml:space="preserve"> ceases to so publish such base rate, the said effective base rate shall be replaced by the prime or base rate on corporate loans in Dollars announced by The Chase Manhattan Bank N.A. (or its successor) on the first Business Day of the relevant month); or</w:t>
      </w:r>
    </w:p>
    <w:p>
      <w:pPr>
        <w:pStyle w:val="Normal"/>
        <w:widowControl/>
        <w:spacing w:lineRule="atLeast" w:line="240"/>
        <w:ind w:firstLine="720" w:end="0"/>
        <w:jc w:val="both"/>
        <w:rPr>
          <w:i/>
          <w:i/>
        </w:rPr>
      </w:pPr>
      <w:r>
        <w:rPr>
          <w:i/>
        </w:rPr>
      </w:r>
    </w:p>
    <w:p>
      <w:pPr>
        <w:pStyle w:val="Normal"/>
        <w:widowControl/>
        <w:spacing w:lineRule="atLeast" w:line="240"/>
        <w:ind w:hanging="720" w:start="1440" w:end="0"/>
        <w:jc w:val="both"/>
        <w:rPr/>
      </w:pPr>
      <w:r>
        <w:rPr/>
        <w:t xml:space="preserve">    </w:t>
      </w:r>
      <w:r>
        <w:rPr/>
        <w:t>(b)</w:t>
        <w:tab/>
        <w:t>with respect to amounts payable in Dollars, the prime rate of Royal Bank of Canada effective on the first Business Day of the month, namely the rate of interest per annum announced on such day by Royal Bank of Canada as being its reference rate then in effect for determining interest rates on commercial loans in Dollars made by it in Canada; or</w:t>
      </w:r>
    </w:p>
    <w:p>
      <w:pPr>
        <w:pStyle w:val="Normal"/>
        <w:widowControl/>
        <w:spacing w:lineRule="atLeast" w:line="240"/>
        <w:ind w:firstLine="720" w:end="0"/>
        <w:jc w:val="both"/>
        <w:rPr>
          <w:i/>
          <w:i/>
        </w:rPr>
      </w:pPr>
      <w:r>
        <w:rPr>
          <w:i/>
        </w:rPr>
      </w:r>
    </w:p>
    <w:p>
      <w:pPr>
        <w:pStyle w:val="Normal"/>
        <w:widowControl/>
        <w:spacing w:lineRule="atLeast" w:line="240"/>
        <w:ind w:hanging="720" w:start="1440" w:end="0"/>
        <w:jc w:val="both"/>
        <w:rPr/>
      </w:pPr>
      <w:r>
        <w:rPr/>
        <w:t xml:space="preserve">    </w:t>
      </w:r>
      <w:r>
        <w:rPr/>
        <w:t>(c)</w:t>
        <w:tab/>
        <w:t>with respect to amounts to be paid in currencies other than Dollars and U.S. Dollars, such rate as shall have been specified with respect to each relevant Transaction in the related Confirmation; and</w:t>
      </w:r>
    </w:p>
    <w:p>
      <w:pPr>
        <w:pStyle w:val="Normal"/>
        <w:widowControl/>
        <w:spacing w:lineRule="atLeast" w:line="240"/>
        <w:ind w:hanging="720" w:start="1440" w:end="0"/>
        <w:jc w:val="both"/>
        <w:rPr/>
      </w:pPr>
      <w:r>
        <w:rPr/>
      </w:r>
    </w:p>
    <w:p>
      <w:pPr>
        <w:pStyle w:val="Normal"/>
        <w:widowControl/>
        <w:spacing w:lineRule="atLeast" w:line="240"/>
        <w:ind w:hanging="720" w:start="1440" w:end="0"/>
        <w:jc w:val="both"/>
        <w:rPr/>
      </w:pPr>
      <w:r>
        <w:rPr/>
        <w:t>(2)</w:t>
        <w:tab/>
        <w:t>the maximum lawful rate of interest under applicable law;</w:t>
      </w:r>
    </w:p>
    <w:p>
      <w:pPr>
        <w:pStyle w:val="Normal"/>
        <w:widowControl/>
        <w:spacing w:lineRule="atLeast" w:line="240"/>
        <w:ind w:hanging="720" w:start="1440" w:end="0"/>
        <w:jc w:val="both"/>
        <w:rPr/>
      </w:pPr>
      <w:r>
        <w:rPr/>
      </w:r>
    </w:p>
    <w:p>
      <w:pPr>
        <w:pStyle w:val="Normal"/>
        <w:widowControl/>
        <w:spacing w:lineRule="atLeast" w:line="240"/>
        <w:ind w:hanging="720" w:start="1440" w:end="0"/>
        <w:jc w:val="both"/>
        <w:rPr/>
      </w:pPr>
      <w:r>
        <w:rPr/>
        <w:t>in either case calculated from the date a sum is due to (but excluding) the date it is paid.</w:t>
      </w:r>
    </w:p>
    <w:p>
      <w:pPr>
        <w:pStyle w:val="Normal"/>
        <w:widowControl/>
        <w:spacing w:lineRule="atLeast" w:line="240"/>
        <w:ind w:firstLine="720" w:end="0"/>
        <w:jc w:val="both"/>
        <w:rPr>
          <w:i/>
          <w:i/>
        </w:rPr>
      </w:pPr>
      <w:r>
        <w:rPr>
          <w:i/>
        </w:rPr>
      </w:r>
    </w:p>
    <w:p>
      <w:pPr>
        <w:pStyle w:val="Normal"/>
        <w:widowControl/>
        <w:spacing w:lineRule="atLeast" w:line="240"/>
        <w:ind w:firstLine="720" w:end="0"/>
        <w:jc w:val="both"/>
        <w:rPr/>
      </w:pPr>
      <w:r>
        <w:rPr>
          <w:i/>
        </w:rPr>
        <w:t>"</w:t>
      </w:r>
      <w:r>
        <w:rPr>
          <w:i/>
          <w:u w:val="single"/>
        </w:rPr>
        <w:t>Default Rate</w:t>
      </w:r>
      <w:r>
        <w:rPr>
          <w:i/>
        </w:rPr>
        <w:t>"</w:t>
      </w:r>
      <w:r>
        <w:rPr/>
        <w:t xml:space="preserve"> shall mean, with respect to any calendar month or portion thereof, a rate equal to the lower of:</w:t>
      </w:r>
    </w:p>
    <w:p>
      <w:pPr>
        <w:pStyle w:val="Normal"/>
        <w:widowControl/>
        <w:spacing w:lineRule="atLeast" w:line="240"/>
        <w:ind w:hanging="720" w:start="1440" w:end="0"/>
        <w:jc w:val="both"/>
        <w:rPr/>
      </w:pPr>
      <w:r>
        <w:rPr/>
        <w:t>(1)(a)</w:t>
        <w:tab/>
        <w:t xml:space="preserve">with respect to amounts payable in U.S. Dollars, the then effective base rate on corporate loans posted by commercial United States banks and listed under “Prime Rate” published under the section “Money Rates” by </w:t>
      </w:r>
      <w:r>
        <w:rPr>
          <w:u w:val="single"/>
        </w:rPr>
        <w:t>The Wall Street Journal</w:t>
      </w:r>
      <w:r>
        <w:rPr/>
        <w:t xml:space="preserve"> (Eastern Edition) on the first Business Day of the month, plus two percent (2%) per annum (provided that if </w:t>
      </w:r>
      <w:r>
        <w:rPr>
          <w:u w:val="single"/>
        </w:rPr>
        <w:t>The Wall Street Journal</w:t>
      </w:r>
      <w:r>
        <w:rPr/>
        <w:t xml:space="preserve"> ceases to so publish such base rate, the said effective base rate shall be replaced by the prime or base rate on corporate loans in Dollars announced by The Chase Manhattan Bank N.A. (or its successor) on the first Business Day of the relevant month); or</w:t>
      </w:r>
    </w:p>
    <w:p>
      <w:pPr>
        <w:pStyle w:val="Normal"/>
        <w:widowControl/>
        <w:spacing w:lineRule="atLeast" w:line="240"/>
        <w:ind w:firstLine="720" w:end="0"/>
        <w:jc w:val="both"/>
        <w:rPr>
          <w:i/>
          <w:i/>
        </w:rPr>
      </w:pPr>
      <w:r>
        <w:rPr>
          <w:i/>
        </w:rPr>
      </w:r>
    </w:p>
    <w:p>
      <w:pPr>
        <w:pStyle w:val="Normal"/>
        <w:widowControl/>
        <w:spacing w:lineRule="atLeast" w:line="240"/>
        <w:ind w:hanging="720" w:start="1440" w:end="0"/>
        <w:jc w:val="both"/>
        <w:rPr/>
      </w:pPr>
      <w:r>
        <w:rPr/>
        <w:t xml:space="preserve">    </w:t>
      </w:r>
      <w:r>
        <w:rPr/>
        <w:t>(b)</w:t>
        <w:tab/>
        <w:t>with respect to amounts payable in Dollars, the prime rate of Royal Bank of Canada effective on the first Business Day of the month, namely the rate of interest per annum announced on such day by Royal Bank of Canada as being its reference rate then in effect for determining interest rates on commercial loans in Dollars made by it in Canada, plus 2% per annum; or</w:t>
      </w:r>
    </w:p>
    <w:p>
      <w:pPr>
        <w:pStyle w:val="Normal"/>
        <w:widowControl/>
        <w:spacing w:lineRule="atLeast" w:line="240"/>
        <w:ind w:firstLine="720" w:end="0"/>
        <w:jc w:val="both"/>
        <w:rPr>
          <w:i/>
          <w:i/>
        </w:rPr>
      </w:pPr>
      <w:r>
        <w:rPr>
          <w:i/>
        </w:rPr>
      </w:r>
    </w:p>
    <w:p>
      <w:pPr>
        <w:pStyle w:val="Normal"/>
        <w:widowControl/>
        <w:spacing w:lineRule="atLeast" w:line="240"/>
        <w:ind w:hanging="720" w:start="1440" w:end="0"/>
        <w:jc w:val="both"/>
        <w:rPr/>
      </w:pPr>
      <w:r>
        <w:rPr/>
        <w:t xml:space="preserve">    </w:t>
      </w:r>
      <w:r>
        <w:rPr/>
        <w:t>(c)</w:t>
        <w:tab/>
        <w:t>with respect to amounts to be paid in currencies other than Dollars and U.S. Dollars, such rate as shall have been specified with respect to each relevant Transaction in the related Confirmation, plus 2% per annum; and</w:t>
      </w:r>
    </w:p>
    <w:p>
      <w:pPr>
        <w:pStyle w:val="Normal"/>
        <w:widowControl/>
        <w:spacing w:lineRule="atLeast" w:line="240"/>
        <w:ind w:hanging="720" w:start="1440" w:end="0"/>
        <w:jc w:val="both"/>
        <w:rPr/>
      </w:pPr>
      <w:r>
        <w:rPr/>
      </w:r>
    </w:p>
    <w:p>
      <w:pPr>
        <w:pStyle w:val="Normal"/>
        <w:widowControl/>
        <w:spacing w:lineRule="atLeast" w:line="240"/>
        <w:ind w:hanging="720" w:start="1440" w:end="0"/>
        <w:jc w:val="both"/>
        <w:rPr/>
      </w:pPr>
      <w:r>
        <w:rPr/>
        <w:t>(2)</w:t>
        <w:tab/>
        <w:t>the maximum lawful rate of interest under applicable law;</w:t>
      </w:r>
    </w:p>
    <w:p>
      <w:pPr>
        <w:pStyle w:val="Normal"/>
        <w:widowControl/>
        <w:spacing w:lineRule="atLeast" w:line="240"/>
        <w:ind w:hanging="720" w:start="1440" w:end="0"/>
        <w:jc w:val="both"/>
        <w:rPr/>
      </w:pPr>
      <w:r>
        <w:rPr/>
      </w:r>
    </w:p>
    <w:p>
      <w:pPr>
        <w:pStyle w:val="Normal"/>
        <w:widowControl/>
        <w:spacing w:lineRule="atLeast" w:line="240"/>
        <w:ind w:hanging="720" w:start="1440" w:end="0"/>
        <w:jc w:val="both"/>
        <w:rPr/>
      </w:pPr>
      <w:r>
        <w:rPr/>
        <w:t>in either case calculated from the date a sum is due to (but excluding) the date it is paid.</w:t>
      </w:r>
    </w:p>
    <w:p>
      <w:pPr>
        <w:pStyle w:val="Normal"/>
        <w:widowControl/>
        <w:spacing w:lineRule="atLeast" w:line="240"/>
        <w:jc w:val="both"/>
        <w:rPr/>
      </w:pPr>
      <w:r>
        <w:rPr/>
      </w:r>
    </w:p>
    <w:p>
      <w:pPr>
        <w:pStyle w:val="Header"/>
        <w:widowControl/>
        <w:rPr>
          <w:b/>
        </w:rPr>
      </w:pPr>
      <w:r>
        <w:rPr>
          <w:b/>
        </w:rPr>
        <w:t>SWITZERLAND</w:t>
      </w:r>
    </w:p>
    <w:p>
      <w:pPr>
        <w:pStyle w:val="Header"/>
        <w:widowControl/>
        <w:rPr>
          <w:b/>
        </w:rPr>
      </w:pPr>
      <w:r>
        <w:rPr>
          <w:b/>
        </w:rPr>
      </w:r>
    </w:p>
    <w:p>
      <w:pPr>
        <w:pStyle w:val="Header"/>
        <w:widowControl/>
        <w:rPr/>
      </w:pPr>
      <w:r>
        <w:rPr>
          <w:b/>
        </w:rPr>
        <w:t>Part 1.  Termination Provisions</w:t>
      </w:r>
      <w:r>
        <w:rPr/>
        <w:t>:  The following should be added to the end of this section:</w:t>
      </w:r>
    </w:p>
    <w:p>
      <w:pPr>
        <w:pStyle w:val="Normal"/>
        <w:widowControl/>
        <w:spacing w:lineRule="exact" w:line="240" w:before="240" w:after="0"/>
        <w:ind w:firstLine="720" w:end="0"/>
        <w:jc w:val="both"/>
        <w:rPr/>
      </w:pPr>
      <w:r>
        <w:rPr/>
        <w:t>“</w:t>
      </w:r>
      <w:r>
        <w:rPr/>
        <w:t>[(h)]</w:t>
      </w:r>
      <w:r>
        <w:rPr>
          <w:b/>
        </w:rPr>
        <w:tab/>
        <w:t>Additional Event of Default</w:t>
      </w:r>
      <w:r>
        <w:rPr/>
        <w:t>. The following will constitute an additional Event of Default for purposes of Section 5(a):</w:t>
      </w:r>
    </w:p>
    <w:p>
      <w:pPr>
        <w:pStyle w:val="Normal"/>
        <w:widowControl/>
        <w:spacing w:lineRule="exact" w:line="240" w:before="240" w:after="0"/>
        <w:ind w:firstLine="720" w:end="0"/>
        <w:jc w:val="both"/>
        <w:rPr/>
      </w:pPr>
      <w:r>
        <w:rPr/>
        <w:t>[(ix)]</w:t>
        <w:tab/>
        <w:t>The occurrence of any of the following:</w:t>
      </w:r>
    </w:p>
    <w:p>
      <w:pPr>
        <w:pStyle w:val="Normal"/>
        <w:widowControl/>
        <w:spacing w:lineRule="exact" w:line="240" w:before="240" w:after="0"/>
        <w:ind w:firstLine="720" w:start="720" w:end="0"/>
        <w:jc w:val="both"/>
        <w:rPr/>
      </w:pPr>
      <w:r>
        <w:rPr/>
        <w:t>(i)</w:t>
        <w:tab/>
        <w:t>the bankruptcy of Party B within the meaning of the Swiss Federal Code on Collection Procedures and Bankruptcy (</w:t>
      </w:r>
      <w:r>
        <w:rPr>
          <w:i/>
        </w:rPr>
        <w:t>Bundesgesetz uber Schuldbertreibung und Konkurs</w:t>
      </w:r>
      <w:r>
        <w:rPr/>
        <w:t>);</w:t>
      </w:r>
    </w:p>
    <w:p>
      <w:pPr>
        <w:pStyle w:val="Normal"/>
        <w:widowControl/>
        <w:spacing w:lineRule="exact" w:line="240" w:before="240" w:after="0"/>
        <w:ind w:firstLine="720" w:start="720" w:end="0"/>
        <w:jc w:val="both"/>
        <w:rPr/>
      </w:pPr>
      <w:r>
        <w:rPr/>
        <w:t>(ii)</w:t>
        <w:tab/>
        <w:t>the petition by Party B or a third party for Party B’s composition with its creditors within the meaning of art. 293 et seq. of the Swiss Federal Code on Collection Procedures and Bankruptcy (</w:t>
      </w:r>
      <w:r>
        <w:rPr>
          <w:i/>
        </w:rPr>
        <w:t>Bundesgesetz uber Schuldbertreibung und Konkurs</w:t>
      </w:r>
      <w:r>
        <w:rPr/>
        <w:t>); or</w:t>
      </w:r>
    </w:p>
    <w:p>
      <w:pPr>
        <w:pStyle w:val="Normal"/>
        <w:widowControl/>
        <w:spacing w:lineRule="exact" w:line="240" w:before="240" w:after="0"/>
        <w:ind w:firstLine="720" w:start="720" w:end="0"/>
        <w:jc w:val="both"/>
        <w:rPr/>
      </w:pPr>
      <w:r>
        <w:rPr/>
        <w:t>(iii)</w:t>
        <w:tab/>
        <w:t>the petition by Party B’s board of directors or a creditor to defer the adjudication of Party B’s bankruptcy in accordance with art. 725a of the Swiss Code of Obligations (</w:t>
      </w:r>
      <w:r>
        <w:rPr>
          <w:i/>
        </w:rPr>
        <w:t>Schweizerisches Obligationenrecht</w:t>
      </w:r>
      <w:r>
        <w:rPr/>
        <w:t>).”</w:t>
      </w:r>
    </w:p>
    <w:p>
      <w:pPr>
        <w:pStyle w:val="Header"/>
        <w:widowControl/>
        <w:rPr/>
      </w:pPr>
      <w:r>
        <w:rPr/>
      </w:r>
    </w:p>
    <w:p>
      <w:pPr>
        <w:pStyle w:val="Header"/>
        <w:widowControl/>
        <w:rPr>
          <w:b/>
        </w:rPr>
      </w:pPr>
      <w:r>
        <w:rPr>
          <w:b/>
        </w:rPr>
      </w:r>
    </w:p>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Tms Rmn">
    <w:altName w:val="Times New Roman"/>
    <w:charset w:val="00" w:characterSet="windows-1252"/>
    <w:family w:val="roman"/>
    <w:pitch w:val="variable"/>
  </w:font>
  <w:font w:name="TmsRmn 12pt">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/mnt/main-storage/datasets/enron-docs/doc/LIBRARY.doc</w:t>
    </w:r>
    <w:r>
      <w:rPr>
        <w:sz w:val="16"/>
      </w:rPr>
      <w:fldChar w:fldCharType="end"/>
    </w:r>
  </w:p>
  <w:p>
    <w:pPr>
      <w:pStyle w:val="Footer"/>
      <w:widowControl/>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/mnt/main-storage/datasets/enron-docs/doc/LIBRARY.doc</w:t>
    </w:r>
    <w:r>
      <w:rPr>
        <w:sz w:val="16"/>
      </w:rPr>
      <w:fldChar w:fldCharType="end"/>
    </w:r>
  </w:p>
  <w:p>
    <w:pPr>
      <w:pStyle w:val="Footer"/>
      <w:widowControl/>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/mnt/main-storage/datasets/enron-docs/doc/LIBRARY.doc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FootnoteCharacters">
    <w:name w:val="Footnote Characters"/>
    <w:basedOn w:val="DefaultParagraphFont"/>
    <w:qFormat/>
    <w:rPr>
      <w:sz w:val="16"/>
      <w:vertAlign w:val="superscript"/>
    </w:rPr>
  </w:style>
  <w:style w:type="character" w:styleId="LineNumber">
    <w:name w:val="line number"/>
    <w:basedOn w:val="DefaultParagraphFont"/>
    <w:rPr>
      <w:sz w:val="20"/>
    </w:rPr>
  </w:style>
  <w:style w:type="character" w:styleId="PageNumber">
    <w:name w:val="page number"/>
    <w:basedOn w:val="DefaultParagraphFont"/>
    <w:rPr>
      <w:sz w:val="22"/>
    </w:rPr>
  </w:style>
  <w:style w:type="paragraph" w:styleId="Heading">
    <w:name w:val="Heading"/>
    <w:basedOn w:val="Normal"/>
    <w:next w:val="BodyText"/>
    <w:qFormat/>
    <w:pPr>
      <w:jc w:val="center"/>
    </w:pPr>
    <w:rPr>
      <w:sz w:val="24"/>
    </w:rPr>
  </w:style>
  <w:style w:type="paragraph" w:styleId="BodyText">
    <w:name w:val="Body Text"/>
    <w:basedOn w:val="Normal"/>
    <w:pPr>
      <w:widowControl/>
      <w:spacing w:lineRule="exact" w:line="240" w:before="240" w:after="0"/>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b/>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sz w:val="24"/>
    </w:rPr>
  </w:style>
  <w:style w:type="paragraph" w:styleId="DocInit">
    <w:name w:val="Doc Init"/>
    <w:basedOn w:val="Normal"/>
    <w:qFormat/>
    <w:pPr/>
    <w:rPr>
      <w:sz w:val="24"/>
    </w:rPr>
  </w:style>
  <w:style w:type="paragraph" w:styleId="Document">
    <w:name w:val="Document"/>
    <w:basedOn w:val="Normal"/>
    <w:qFormat/>
    <w:pPr/>
    <w:rPr>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sz w:val="24"/>
    </w:rPr>
  </w:style>
  <w:style w:type="paragraph" w:styleId="FINE">
    <w:name w:val="FINE"/>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sz w:val="24"/>
    </w:rPr>
  </w:style>
  <w:style w:type="paragraph" w:styleId="HIGHLIGHT3">
    <w:name w:val="HIGHLIGHT 3"/>
    <w:basedOn w:val="Normal"/>
    <w:qFormat/>
    <w:pPr/>
    <w:rPr>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sz w:val="24"/>
    </w:rPr>
  </w:style>
  <w:style w:type="paragraph" w:styleId="INVOICEFEE">
    <w:name w:val="INVOICE FEE"/>
    <w:basedOn w:val="Normal"/>
    <w:qFormat/>
    <w:pPr>
      <w:tabs>
        <w:tab w:val="clear" w:pos="720"/>
        <w:tab w:val="left" w:pos="432" w:leader="none"/>
        <w:tab w:val="left" w:pos="1152" w:leader="none"/>
        <w:tab w:val="decimal" w:pos="9864" w:leader="none"/>
      </w:tabs>
    </w:pPr>
    <w:rPr>
      <w:sz w:val="24"/>
    </w:rPr>
  </w:style>
  <w:style w:type="paragraph" w:styleId="INVOICEHEAD">
    <w:name w:val="INVOICE HEAD"/>
    <w:basedOn w:val="Normal"/>
    <w:qFormat/>
    <w:pPr>
      <w:tabs>
        <w:tab w:val="clear" w:pos="720"/>
        <w:tab w:val="left" w:pos="4680" w:leader="none"/>
      </w:tabs>
      <w:jc w:val="center"/>
    </w:pPr>
    <w:rPr>
      <w:sz w:val="24"/>
    </w:rPr>
  </w:style>
  <w:style w:type="paragraph" w:styleId="INVOICETOT">
    <w:name w:val="INVOICE TOT"/>
    <w:basedOn w:val="Normal"/>
    <w:qFormat/>
    <w:pPr>
      <w:tabs>
        <w:tab w:val="clear" w:pos="720"/>
        <w:tab w:val="left" w:pos="432" w:leader="none"/>
        <w:tab w:val="left" w:pos="1152" w:leader="none"/>
        <w:tab w:val="decimal" w:pos="9864" w:leader="none"/>
      </w:tabs>
    </w:pPr>
    <w:rPr>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sz w:val="24"/>
    </w:rPr>
  </w:style>
  <w:style w:type="paragraph" w:styleId="LETTERHEAD">
    <w:name w:val="LETTERHEAD"/>
    <w:basedOn w:val="Normal"/>
    <w:qFormat/>
    <w:pPr>
      <w:jc w:val="center"/>
    </w:pPr>
    <w:rPr>
      <w:sz w:val="24"/>
    </w:rPr>
  </w:style>
  <w:style w:type="paragraph" w:styleId="MEMORANDUM">
    <w:name w:val="MEMORANDUM"/>
    <w:basedOn w:val="Normal"/>
    <w:qFormat/>
    <w:pPr>
      <w:jc w:val="center"/>
    </w:pPr>
    <w:rPr>
      <w:sz w:val="24"/>
    </w:rPr>
  </w:style>
  <w:style w:type="paragraph" w:styleId="Pleading">
    <w:name w:val="Pleading"/>
    <w:basedOn w:val="Normal"/>
    <w:qFormat/>
    <w:pPr>
      <w:tabs>
        <w:tab w:val="clear" w:pos="720"/>
        <w:tab w:val="right" w:pos="288" w:leader="none"/>
      </w:tabs>
    </w:pPr>
    <w:rPr>
      <w:sz w:val="24"/>
    </w:rPr>
  </w:style>
  <w:style w:type="paragraph" w:styleId="RightPar">
    <w:name w:val="Right Par"/>
    <w:basedOn w:val="Normal"/>
    <w:qFormat/>
    <w:pPr>
      <w:ind w:firstLine="720" w:start="0" w:end="0"/>
    </w:pPr>
    <w:rPr>
      <w:sz w:val="24"/>
    </w:rPr>
  </w:style>
  <w:style w:type="paragraph" w:styleId="SMALL">
    <w:name w:val="SMALL"/>
    <w:basedOn w:val="Normal"/>
    <w:qFormat/>
    <w:pPr/>
    <w:rPr>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sz w:val="24"/>
    </w:rPr>
  </w:style>
  <w:style w:type="paragraph" w:styleId="TechInit">
    <w:name w:val="Tech Init"/>
    <w:basedOn w:val="Normal"/>
    <w:qFormat/>
    <w:pPr/>
    <w:rPr>
      <w:sz w:val="24"/>
    </w:rPr>
  </w:style>
  <w:style w:type="paragraph" w:styleId="Technical">
    <w:name w:val="Technical"/>
    <w:basedOn w:val="Normal"/>
    <w:qFormat/>
    <w:pPr/>
    <w:rPr>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VERYLARGE">
    <w:name w:val="VERY LARGE"/>
    <w:basedOn w:val="Normal"/>
    <w:qFormat/>
    <w:pPr/>
    <w:rPr>
      <w:sz w:val="24"/>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BodyTextIndent2">
    <w:name w:val="Body Text Indent 2"/>
    <w:basedOn w:val="Normal"/>
    <w:qFormat/>
    <w:pPr>
      <w:tabs>
        <w:tab w:val="clear" w:pos="720"/>
        <w:tab w:val="left" w:pos="1350" w:leader="none"/>
      </w:tabs>
      <w:ind w:firstLine="720" w:start="0" w:end="0"/>
      <w:jc w:val="both"/>
    </w:pPr>
    <w:rPr>
      <w:rFonts w:ascii="Tms Rmn" w:hAnsi="Tms Rmn" w:cs="Tms Rmn"/>
    </w:rPr>
  </w:style>
  <w:style w:type="paragraph" w:styleId="RightPar6">
    <w:name w:val="Right Par 6"/>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TmsRmn 12pt" w:hAnsi="TmsRmn 12pt" w:eastAsia="Times New Roman" w:cs="TmsRmn 12pt"/>
      <w:color w:val="auto"/>
      <w:sz w:val="24"/>
      <w:szCs w:val="20"/>
      <w:lang w:val="en-US" w:bidi="ar-SA" w:eastAsia="zh-CN"/>
    </w:rPr>
  </w:style>
  <w:style w:type="paragraph" w:styleId="BodyTextIndent">
    <w:name w:val="Body Text Indent"/>
    <w:basedOn w:val="Normal"/>
    <w:pPr>
      <w:ind w:firstLine="720" w:start="0" w:end="0"/>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2000-12-13T21:00:00Z</dcterms:created>
  <dc:creator>ECT</dc:creator>
  <dc:description/>
  <dc:language>en-CA</dc:language>
  <cp:lastModifiedBy>tjones</cp:lastModifiedBy>
  <cp:lastPrinted>2000-12-14T10:52:00Z</cp:lastPrinted>
  <dcterms:modified xsi:type="dcterms:W3CDTF">2000-12-14T14:24:00Z</dcterms:modified>
  <cp:revision>13</cp:revision>
  <dc:subject/>
  <dc:title>INTERNATIONAL ISDA AGREEMENTS</dc:title>
</cp:coreProperties>
</file>