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440" w:end="0"/>
        <w:jc w:val="center"/>
        <w:rPr>
          <w:rFonts w:ascii="Arial" w:hAnsi="Arial" w:cs="Arial"/>
          <w:b/>
          <w:sz w:val="28"/>
        </w:rPr>
      </w:pPr>
      <w:r>
        <w:rPr>
          <w:rFonts w:cs="Arial" w:ascii="Arial" w:hAnsi="Arial"/>
          <w:b/>
          <w:sz w:val="28"/>
        </w:rPr>
        <w:t>Matrix of Comments Submitted as of July 7, 2000 Concerning</w:t>
      </w:r>
    </w:p>
    <w:p>
      <w:pPr>
        <w:pStyle w:val="Normal"/>
        <w:ind w:start="1440" w:end="0"/>
        <w:jc w:val="center"/>
        <w:rPr>
          <w:rFonts w:ascii="Arial" w:hAnsi="Arial" w:cs="Arial"/>
          <w:b/>
          <w:sz w:val="28"/>
        </w:rPr>
      </w:pPr>
      <w:r>
        <w:rPr>
          <w:rFonts w:cs="Arial" w:ascii="Arial" w:hAnsi="Arial"/>
          <w:b/>
          <w:sz w:val="28"/>
        </w:rPr>
        <w:t>IndeGO Load Integration Agreement</w:t>
      </w:r>
    </w:p>
    <w:p>
      <w:pPr>
        <w:pStyle w:val="Normal"/>
        <w:ind w:start="1440" w:end="0"/>
        <w:rPr>
          <w:rFonts w:ascii="Arial" w:hAnsi="Arial" w:cs="Arial"/>
          <w:b/>
          <w:sz w:val="28"/>
        </w:rPr>
      </w:pPr>
      <w:r>
        <w:rPr>
          <w:rFonts w:cs="Arial" w:ascii="Arial" w:hAnsi="Arial"/>
          <w:b/>
          <w:sz w:val="28"/>
        </w:rPr>
      </w:r>
    </w:p>
    <w:tbl>
      <w:tblPr>
        <w:tblW w:w="13176" w:type="dxa"/>
        <w:jc w:val="start"/>
        <w:tblInd w:w="0" w:type="dxa"/>
        <w:tblLayout w:type="fixed"/>
        <w:tblCellMar>
          <w:top w:w="0" w:type="dxa"/>
          <w:start w:w="108" w:type="dxa"/>
          <w:bottom w:w="0" w:type="dxa"/>
          <w:end w:w="108" w:type="dxa"/>
        </w:tblCellMar>
      </w:tblPr>
      <w:tblGrid>
        <w:gridCol w:w="9288"/>
        <w:gridCol w:w="2160"/>
        <w:gridCol w:w="1728"/>
      </w:tblGrid>
      <w:tr>
        <w:trPr>
          <w:tblHeader w:val="true"/>
        </w:trPr>
        <w:tc>
          <w:tcPr>
            <w:tcW w:w="9288" w:type="dxa"/>
            <w:tcBorders>
              <w:top w:val="double" w:sz="4" w:space="0" w:color="000000"/>
              <w:start w:val="double" w:sz="4" w:space="0" w:color="000000"/>
              <w:bottom w:val="double" w:sz="4" w:space="0" w:color="000000"/>
            </w:tcBorders>
          </w:tcPr>
          <w:p>
            <w:pPr>
              <w:pStyle w:val="Normal"/>
              <w:rPr>
                <w:rFonts w:ascii="Arial" w:hAnsi="Arial" w:cs="Arial"/>
                <w:b/>
              </w:rPr>
            </w:pPr>
            <w:r>
              <w:rPr>
                <w:rFonts w:cs="Arial" w:ascii="Arial" w:hAnsi="Arial"/>
                <w:b/>
              </w:rPr>
              <w:t>Section Number and Title/</w:t>
            </w:r>
          </w:p>
          <w:p>
            <w:pPr>
              <w:pStyle w:val="Normal"/>
              <w:rPr>
                <w:rFonts w:ascii="Arial" w:hAnsi="Arial" w:cs="Arial"/>
                <w:b/>
              </w:rPr>
            </w:pPr>
            <w:r>
              <w:rPr>
                <w:rFonts w:cs="Arial" w:ascii="Arial" w:hAnsi="Arial"/>
                <w:b/>
              </w:rPr>
              <w:t>Comments Received</w:t>
            </w:r>
          </w:p>
        </w:tc>
        <w:tc>
          <w:tcPr>
            <w:tcW w:w="2160" w:type="dxa"/>
            <w:tcBorders>
              <w:top w:val="double" w:sz="4" w:space="0" w:color="000000"/>
              <w:start w:val="double" w:sz="4" w:space="0" w:color="000000"/>
              <w:bottom w:val="double" w:sz="4" w:space="0" w:color="000000"/>
              <w:end w:val="double" w:sz="4" w:space="0" w:color="000000"/>
            </w:tcBorders>
          </w:tcPr>
          <w:p>
            <w:pPr>
              <w:pStyle w:val="Normal"/>
              <w:jc w:val="center"/>
              <w:rPr>
                <w:rFonts w:ascii="Arial" w:hAnsi="Arial" w:cs="Arial"/>
                <w:b/>
              </w:rPr>
            </w:pPr>
            <w:r>
              <w:rPr>
                <w:rFonts w:cs="Arial" w:ascii="Arial" w:hAnsi="Arial"/>
                <w:b/>
              </w:rPr>
              <w:t>Commenting</w:t>
            </w:r>
          </w:p>
          <w:p>
            <w:pPr>
              <w:pStyle w:val="Normal"/>
              <w:jc w:val="center"/>
              <w:rPr>
                <w:rFonts w:ascii="Arial" w:hAnsi="Arial" w:cs="Arial"/>
              </w:rPr>
            </w:pPr>
            <w:r>
              <w:rPr>
                <w:rFonts w:cs="Arial" w:ascii="Arial" w:hAnsi="Arial"/>
                <w:b/>
              </w:rPr>
              <w:t>Party</w:t>
            </w:r>
          </w:p>
        </w:tc>
        <w:tc>
          <w:tcPr>
            <w:tcW w:w="1728" w:type="dxa"/>
            <w:tcBorders>
              <w:top w:val="double" w:sz="4" w:space="0" w:color="000000"/>
              <w:bottom w:val="double" w:sz="4" w:space="0" w:color="000000"/>
              <w:end w:val="double" w:sz="4" w:space="0" w:color="000000"/>
            </w:tcBorders>
          </w:tcPr>
          <w:p>
            <w:pPr>
              <w:pStyle w:val="Normal"/>
              <w:jc w:val="center"/>
              <w:rPr>
                <w:rFonts w:ascii="Arial" w:hAnsi="Arial" w:cs="Arial"/>
                <w:b/>
              </w:rPr>
            </w:pPr>
            <w:r>
              <w:rPr>
                <w:rFonts w:cs="Arial" w:ascii="Arial" w:hAnsi="Arial"/>
                <w:b/>
              </w:rPr>
              <w:t>Proposed Category</w:t>
            </w:r>
          </w:p>
        </w:tc>
      </w:tr>
      <w:tr>
        <w:trPr/>
        <w:tc>
          <w:tcPr>
            <w:tcW w:w="9288" w:type="dxa"/>
            <w:tcBorders>
              <w:start w:val="double" w:sz="4" w:space="0" w:color="000000"/>
              <w:bottom w:val="single" w:sz="4" w:space="0" w:color="000000"/>
              <w:end w:val="single" w:sz="4" w:space="0" w:color="000000"/>
            </w:tcBorders>
          </w:tcPr>
          <w:p>
            <w:pPr>
              <w:pStyle w:val="Normal"/>
              <w:jc w:val="both"/>
              <w:rPr>
                <w:rFonts w:ascii="Arial" w:hAnsi="Arial" w:cs="Arial"/>
                <w:i/>
                <w:i/>
                <w:sz w:val="22"/>
              </w:rPr>
            </w:pPr>
            <w:r>
              <w:rPr>
                <w:rFonts w:cs="Arial" w:ascii="Arial" w:hAnsi="Arial"/>
                <w:i/>
                <w:u w:val="single"/>
              </w:rPr>
              <w:t>General</w:t>
            </w:r>
            <w:r>
              <w:rPr>
                <w:rFonts w:cs="Arial" w:ascii="Arial" w:hAnsi="Arial"/>
                <w:i/>
              </w:rPr>
              <w:t xml:space="preserve"> (no specific section reference)</w:t>
            </w:r>
          </w:p>
          <w:p>
            <w:pPr>
              <w:pStyle w:val="Normal"/>
              <w:numPr>
                <w:ilvl w:val="0"/>
                <w:numId w:val="7"/>
              </w:numPr>
              <w:tabs>
                <w:tab w:val="clear" w:pos="720"/>
              </w:tabs>
              <w:ind w:hanging="360" w:start="720" w:end="0"/>
              <w:rPr>
                <w:rFonts w:ascii="Arial" w:hAnsi="Arial" w:cs="Arial"/>
                <w:sz w:val="22"/>
                <w:u w:val="single"/>
              </w:rPr>
            </w:pPr>
            <w:r>
              <w:rPr>
                <w:rFonts w:cs="Arial" w:ascii="Arial" w:hAnsi="Arial"/>
                <w:sz w:val="22"/>
                <w:lang w:eastAsia="en-US"/>
              </w:rPr>
              <w:t>Technical and Reliability Standards.  Separate out the technical standards from the body of the agreement and place in a technical appendix.  Develop specified minimum reliability standards (such as BPA’s Technical Requirements for the Connection of Transmission Lines and Loads) as a substitute for the ambiguous "safety and reliability requirements" (e.g. Reliability Management System (RMS)).</w:t>
            </w:r>
          </w:p>
          <w:p>
            <w:pPr>
              <w:pStyle w:val="Normal"/>
              <w:rPr>
                <w:rFonts w:ascii="Arial" w:hAnsi="Arial" w:cs="Arial"/>
                <w:sz w:val="22"/>
                <w:u w:val="single"/>
              </w:rPr>
            </w:pPr>
            <w:r>
              <w:rPr>
                <w:rFonts w:cs="Arial" w:ascii="Arial" w:hAnsi="Arial"/>
                <w:sz w:val="22"/>
                <w:u w:val="single"/>
              </w:rPr>
            </w:r>
          </w:p>
          <w:p>
            <w:pPr>
              <w:pStyle w:val="Normal"/>
              <w:numPr>
                <w:ilvl w:val="0"/>
                <w:numId w:val="7"/>
              </w:numPr>
              <w:tabs>
                <w:tab w:val="clear" w:pos="720"/>
              </w:tabs>
              <w:ind w:hanging="360" w:start="720" w:end="0"/>
              <w:rPr>
                <w:rFonts w:ascii="Arial" w:hAnsi="Arial" w:cs="Arial"/>
                <w:sz w:val="22"/>
                <w:u w:val="single"/>
              </w:rPr>
            </w:pPr>
            <w:r>
              <w:rPr>
                <w:rFonts w:cs="Arial" w:ascii="Arial" w:hAnsi="Arial"/>
                <w:sz w:val="22"/>
                <w:lang w:eastAsia="en-US"/>
              </w:rPr>
              <w:t>Metering Issues. Bonneville currently owns many/most of the meters at the interconnections with its customers.  Thus, shifting the metering burden to the interconnecting load doesn’t work.  Do not require certification of meter testers but rather rely on RTO’s right to attend all reading, testing and repair of meters.  Establish accuracy standard of 1% and consider eliminating Good Utility Practice (GUP) standard in section 3.2.6.</w:t>
            </w:r>
          </w:p>
          <w:p>
            <w:pPr>
              <w:pStyle w:val="Normal"/>
              <w:rPr>
                <w:rFonts w:ascii="Arial" w:hAnsi="Arial" w:cs="Arial"/>
                <w:sz w:val="22"/>
                <w:u w:val="single"/>
              </w:rPr>
            </w:pPr>
            <w:r>
              <w:rPr>
                <w:rFonts w:cs="Arial" w:ascii="Arial" w:hAnsi="Arial"/>
                <w:sz w:val="22"/>
                <w:u w:val="single"/>
              </w:rPr>
            </w:r>
          </w:p>
          <w:p>
            <w:pPr>
              <w:pStyle w:val="Normal"/>
              <w:numPr>
                <w:ilvl w:val="0"/>
                <w:numId w:val="7"/>
              </w:numPr>
              <w:tabs>
                <w:tab w:val="clear" w:pos="720"/>
              </w:tabs>
              <w:ind w:hanging="360" w:start="720" w:end="0"/>
              <w:rPr>
                <w:rFonts w:ascii="Arial" w:hAnsi="Arial" w:cs="Arial"/>
                <w:sz w:val="22"/>
                <w:u w:val="single"/>
              </w:rPr>
            </w:pPr>
            <w:r>
              <w:rPr>
                <w:rFonts w:cs="Arial" w:ascii="Arial" w:hAnsi="Arial"/>
                <w:sz w:val="22"/>
                <w:lang w:eastAsia="en-US"/>
              </w:rPr>
              <w:t>Boilerplate Provisions.  Encourage consistency among the various RTO agreements</w:t>
            </w:r>
            <w:r>
              <w:rPr>
                <w:rFonts w:cs="Arial" w:ascii="Arial" w:hAnsi="Arial"/>
                <w:sz w:val="22"/>
              </w:rPr>
              <w:t>.</w:t>
            </w:r>
          </w:p>
          <w:p>
            <w:pPr>
              <w:pStyle w:val="Normal"/>
              <w:rPr>
                <w:rFonts w:ascii="Arial" w:hAnsi="Arial" w:cs="Arial"/>
                <w:sz w:val="22"/>
                <w:u w:val="single"/>
              </w:rPr>
            </w:pPr>
            <w:r>
              <w:rPr>
                <w:rFonts w:cs="Arial" w:ascii="Arial" w:hAnsi="Arial"/>
                <w:sz w:val="22"/>
                <w:u w:val="single"/>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Federal agencies do not usually accept liability nor do they waive defenses of the United States.</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The federal agencies are subject to information disclosure statutes such as the Freedom of Information Act</w:t>
            </w:r>
            <w:r>
              <w:rPr/>
              <w:t>.</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There needs to be a statement that such actions as the Biological Opinions and water quality standards need to be met in accordance with applicable law.</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 xml:space="preserve">The Federal agencies need to decide if this agreement is subject to formal consultation with the National Marine Fisheries Service (NMFS) and the Fish and Wildlife Service (FWS) under the Endangered Species Act (ESA). </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 xml:space="preserve">The Federal agencies need to fulfill their National Environmental Protection Act (NEPA) requirements prior to taking final action. </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Federal court references should be made specific.</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The assumption is that questions regarding such issues as indemnification and hold harmless concepts will be addressed in the RTO Subgroup on Liability and Insurance.  Generally, the federal agencies cannot provide indemnification or hold harmless agreements.</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To the extent there is reliance on appropriated funds to pay for obligations under the Agreements there are no guarantees that Congress will choose to make those funds available.</w:t>
            </w:r>
          </w:p>
          <w:p>
            <w:pPr>
              <w:pStyle w:val="Normal"/>
              <w:rPr>
                <w:rFonts w:ascii="Arial" w:hAnsi="Arial" w:cs="Arial"/>
                <w:sz w:val="22"/>
              </w:rPr>
            </w:pPr>
            <w:r>
              <w:rPr>
                <w:rFonts w:cs="Arial" w:ascii="Arial" w:hAnsi="Arial"/>
                <w:sz w:val="22"/>
              </w:rPr>
            </w:r>
          </w:p>
          <w:p>
            <w:pPr>
              <w:pStyle w:val="Normal"/>
              <w:numPr>
                <w:ilvl w:val="0"/>
                <w:numId w:val="7"/>
              </w:numPr>
              <w:tabs>
                <w:tab w:val="clear" w:pos="720"/>
              </w:tabs>
              <w:ind w:hanging="360" w:start="720" w:end="0"/>
              <w:rPr>
                <w:rFonts w:ascii="Arial" w:hAnsi="Arial" w:cs="Arial"/>
                <w:sz w:val="22"/>
              </w:rPr>
            </w:pPr>
            <w:r>
              <w:rPr>
                <w:rFonts w:cs="Arial" w:ascii="Arial" w:hAnsi="Arial"/>
                <w:sz w:val="22"/>
              </w:rPr>
              <w:t>It might be helpful to do whatever we can to make the terms of the agreement as neutral or inclusive as possible, so that the agreement as written will work for any party within the potential RTO West that might want to sign a load integration agreement.  For example, there is language included in the agreement right now that wouldn’t fit if the signing party were Canadian.</w:t>
            </w:r>
          </w:p>
          <w:p>
            <w:pPr>
              <w:pStyle w:val="Normal"/>
              <w:ind w:start="360" w:end="0"/>
              <w:rPr>
                <w:rFonts w:ascii="Arial" w:hAnsi="Arial" w:cs="Arial"/>
                <w:sz w:val="22"/>
              </w:rPr>
            </w:pPr>
            <w:r>
              <w:rPr>
                <w:rFonts w:cs="Arial" w:ascii="Arial" w:hAnsi="Arial"/>
                <w:sz w:val="22"/>
              </w:rPr>
            </w:r>
          </w:p>
        </w:tc>
        <w:tc>
          <w:tcPr>
            <w:tcW w:w="2160" w:type="dxa"/>
            <w:tcBorders>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8"/>
              </w:rPr>
            </w:pPr>
            <w:r>
              <w:rPr>
                <w:rFonts w:cs="Arial" w:ascii="Arial" w:hAnsi="Arial"/>
                <w:sz w:val="28"/>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c>
          <w:tcPr>
            <w:tcW w:w="1728" w:type="dxa"/>
            <w:tcBorders>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16"/>
              </w:rPr>
            </w:pPr>
            <w:r>
              <w:rPr>
                <w:rFonts w:cs="Arial" w:ascii="Arial" w:hAnsi="Arial"/>
                <w:sz w:val="16"/>
              </w:rPr>
            </w:r>
          </w:p>
          <w:p>
            <w:pPr>
              <w:pStyle w:val="Normal"/>
              <w:rPr>
                <w:rFonts w:ascii="Arial" w:hAnsi="Arial" w:cs="Arial"/>
                <w:sz w:val="16"/>
              </w:rPr>
            </w:pPr>
            <w:r>
              <w:rPr>
                <w:rFonts w:cs="Arial" w:ascii="Arial" w:hAnsi="Arial"/>
                <w:sz w:val="16"/>
              </w:rPr>
            </w:r>
          </w:p>
          <w:p>
            <w:pPr>
              <w:pStyle w:val="Normal"/>
              <w:rPr>
                <w:rFonts w:ascii="Arial" w:hAnsi="Arial" w:cs="Arial"/>
              </w:rPr>
            </w:pPr>
            <w:r>
              <w:rPr>
                <w:rFonts w:cs="Arial" w:ascii="Arial" w:hAnsi="Arial"/>
              </w:rPr>
              <w:t>2</w:t>
            </w:r>
          </w:p>
          <w:p>
            <w:pPr>
              <w:pStyle w:val="Normal"/>
              <w:rPr>
                <w:rFonts w:ascii="Arial" w:hAnsi="Arial" w:cs="Arial"/>
                <w:sz w:val="20"/>
              </w:rPr>
            </w:pPr>
            <w:r>
              <w:rPr>
                <w:rFonts w:cs="Arial" w:ascii="Arial" w:hAnsi="Arial"/>
                <w:sz w:val="20"/>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Recitals</w:t>
            </w:r>
          </w:p>
          <w:p>
            <w:pPr>
              <w:pStyle w:val="Normal"/>
              <w:numPr>
                <w:ilvl w:val="0"/>
                <w:numId w:val="15"/>
              </w:numPr>
              <w:tabs>
                <w:tab w:val="clear" w:pos="720"/>
              </w:tabs>
              <w:ind w:hanging="360" w:start="720" w:end="0"/>
              <w:rPr>
                <w:rFonts w:ascii="Arial" w:hAnsi="Arial" w:cs="Arial"/>
                <w:sz w:val="22"/>
                <w:u w:val="single"/>
              </w:rPr>
            </w:pPr>
            <w:r>
              <w:rPr>
                <w:rFonts w:cs="Arial" w:ascii="Arial" w:hAnsi="Arial"/>
                <w:sz w:val="22"/>
              </w:rPr>
              <w:t>Reference should be made to the ability of Congress to exercise their discretion at any time and thereby potentially change any existing arrangements among the parties to the Agreement.  (Recitals, Section 2 and other sections)</w:t>
            </w:r>
          </w:p>
          <w:p>
            <w:pPr>
              <w:pStyle w:val="Normal"/>
              <w:rPr>
                <w:rFonts w:ascii="Arial" w:hAnsi="Arial" w:cs="Arial"/>
                <w:sz w:val="22"/>
                <w:u w:val="single"/>
              </w:rPr>
            </w:pPr>
            <w:r>
              <w:rPr>
                <w:rFonts w:cs="Arial" w:ascii="Arial" w:hAnsi="Arial"/>
                <w:sz w:val="22"/>
                <w:u w:val="single"/>
              </w:rPr>
            </w:r>
          </w:p>
        </w:tc>
        <w:tc>
          <w:tcPr>
            <w:tcW w:w="2160"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tc>
        <w:tc>
          <w:tcPr>
            <w:tcW w:w="1728" w:type="dxa"/>
            <w:tcBorders>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0"/>
              </w:numPr>
              <w:rPr>
                <w:rFonts w:ascii="Arial" w:hAnsi="Arial" w:cs="Arial"/>
                <w:sz w:val="22"/>
                <w:u w:val="single"/>
              </w:rPr>
            </w:pPr>
            <w:r>
              <w:rPr>
                <w:rFonts w:cs="Arial" w:ascii="Arial" w:hAnsi="Arial"/>
                <w:u w:val="single"/>
              </w:rPr>
              <w:t>Definitions</w:t>
            </w:r>
          </w:p>
          <w:p>
            <w:pPr>
              <w:pStyle w:val="Normal"/>
              <w:numPr>
                <w:ilvl w:val="0"/>
                <w:numId w:val="20"/>
              </w:numPr>
              <w:ind w:hanging="360" w:start="720" w:end="0"/>
              <w:rPr>
                <w:rFonts w:ascii="Arial" w:hAnsi="Arial" w:cs="Arial"/>
                <w:sz w:val="22"/>
              </w:rPr>
            </w:pPr>
            <w:r>
              <w:rPr>
                <w:rFonts w:cs="Arial" w:ascii="Arial" w:hAnsi="Arial"/>
                <w:sz w:val="22"/>
                <w:u w:val="single"/>
              </w:rPr>
              <w:t>Control Area</w:t>
            </w:r>
            <w:r>
              <w:rPr>
                <w:rFonts w:cs="Arial" w:ascii="Arial" w:hAnsi="Arial"/>
                <w:sz w:val="22"/>
              </w:rPr>
              <w:t>:  We may want to take a second look at the definition of “control area” under the agreement in view of NERC’s current efforts to re-define and unbundle control area functions.  We might want to try to create something flexible enough to accommodate evolution in this area.</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Sarah D-L</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4"/>
              </w:numPr>
              <w:rPr>
                <w:rFonts w:ascii="Arial" w:hAnsi="Arial" w:cs="Arial"/>
                <w:sz w:val="22"/>
                <w:u w:val="single"/>
              </w:rPr>
            </w:pPr>
            <w:r>
              <w:rPr>
                <w:rFonts w:cs="Arial" w:ascii="Arial" w:hAnsi="Arial"/>
                <w:u w:val="single"/>
              </w:rPr>
              <w:t>Effective Date; Term and Termination</w:t>
            </w:r>
          </w:p>
          <w:p>
            <w:pPr>
              <w:pStyle w:val="Normal"/>
              <w:numPr>
                <w:ilvl w:val="0"/>
                <w:numId w:val="22"/>
              </w:numPr>
              <w:tabs>
                <w:tab w:val="clear" w:pos="720"/>
              </w:tabs>
              <w:ind w:hanging="360" w:start="720" w:end="0"/>
              <w:rPr>
                <w:rFonts w:ascii="Arial" w:hAnsi="Arial" w:cs="Arial"/>
                <w:sz w:val="22"/>
                <w:u w:val="single"/>
              </w:rPr>
            </w:pPr>
            <w:r>
              <w:rPr>
                <w:rFonts w:cs="Arial" w:ascii="Arial" w:hAnsi="Arial"/>
                <w:sz w:val="22"/>
              </w:rPr>
              <w:t>Reference should be made to the ability of Congress to exercise their discretion at any time and thereby potentially change any existing arrangements among the parties to the Agreement.  (Recitals, Section 2 and other sections)</w:t>
            </w:r>
          </w:p>
          <w:p>
            <w:pPr>
              <w:pStyle w:val="Normal"/>
              <w:rPr>
                <w:rFonts w:ascii="Arial" w:hAnsi="Arial" w:cs="Arial"/>
                <w:sz w:val="22"/>
                <w:u w:val="single"/>
              </w:rPr>
            </w:pPr>
            <w:r>
              <w:rPr>
                <w:rFonts w:cs="Arial" w:ascii="Arial" w:hAnsi="Arial"/>
                <w:sz w:val="22"/>
                <w:u w:val="single"/>
              </w:rPr>
            </w:r>
          </w:p>
          <w:p>
            <w:pPr>
              <w:pStyle w:val="Normal"/>
              <w:tabs>
                <w:tab w:val="clear" w:pos="720"/>
                <w:tab w:val="left" w:pos="360" w:leader="none"/>
              </w:tabs>
              <w:rPr/>
            </w:pPr>
            <w:r>
              <w:rPr>
                <w:rFonts w:cs="Arial" w:ascii="Arial" w:hAnsi="Arial"/>
              </w:rPr>
              <w:tab/>
            </w:r>
            <w:r>
              <w:rPr>
                <w:rFonts w:cs="Arial" w:ascii="Arial" w:hAnsi="Arial"/>
                <w:u w:val="single"/>
              </w:rPr>
              <w:t>2.1 (Effective Date)</w:t>
            </w:r>
          </w:p>
          <w:p>
            <w:pPr>
              <w:pStyle w:val="Normal"/>
              <w:numPr>
                <w:ilvl w:val="0"/>
                <w:numId w:val="6"/>
              </w:numPr>
              <w:ind w:hanging="360" w:start="720" w:end="0"/>
              <w:rPr>
                <w:rFonts w:ascii="Arial" w:hAnsi="Arial" w:cs="Arial"/>
                <w:sz w:val="22"/>
              </w:rPr>
            </w:pPr>
            <w:r>
              <w:rPr>
                <w:rFonts w:cs="Arial" w:ascii="Arial" w:hAnsi="Arial"/>
                <w:sz w:val="22"/>
              </w:rPr>
              <w:t>The term of the Agreement needs to be finite.  The term could be for 10 years with an automatic renewal at year nine.</w:t>
            </w:r>
          </w:p>
          <w:p>
            <w:pPr>
              <w:pStyle w:val="Normal"/>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u w:val="single"/>
              </w:rPr>
            </w:pPr>
            <w:r>
              <w:rPr>
                <w:rFonts w:cs="Arial" w:ascii="Arial" w:hAnsi="Arial"/>
                <w:sz w:val="22"/>
                <w:u w:val="single"/>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widowControl w:val="false"/>
              <w:rPr>
                <w:rFonts w:ascii="Arial" w:hAnsi="Arial" w:cs="Arial"/>
                <w:u w:val="single"/>
              </w:rPr>
            </w:pPr>
            <w:r>
              <w:rPr>
                <w:rFonts w:cs="Arial" w:ascii="Arial" w:hAnsi="Arial"/>
                <w:u w:val="single"/>
              </w:rPr>
              <w:t>3.  Interconnections, Metering and Clearance/Safety Issues</w:t>
            </w:r>
          </w:p>
          <w:p>
            <w:pPr>
              <w:pStyle w:val="Normal"/>
              <w:widowControl w:val="false"/>
              <w:numPr>
                <w:ilvl w:val="0"/>
                <w:numId w:val="9"/>
              </w:numPr>
              <w:ind w:hanging="360" w:start="720" w:end="0"/>
              <w:rPr>
                <w:rFonts w:ascii="Arial" w:hAnsi="Arial" w:cs="Arial"/>
                <w:sz w:val="22"/>
              </w:rPr>
            </w:pPr>
            <w:r>
              <w:rPr>
                <w:rFonts w:cs="Arial" w:ascii="Arial" w:hAnsi="Arial"/>
                <w:sz w:val="22"/>
                <w:lang w:eastAsia="en-US"/>
              </w:rPr>
              <w:t>Metering Issues. Bonneville currently owns many/most of the meters at the interconnections with its customers.  Thus, shifting the metering burden to the interconnecting load doesn’t work.  Do not require certification of meter testers but rather rely on RTO’s right to attend all reading, testing and repair of meters.  Establish accuracy standard of 1% and consider eliminating Good Utility Practice (GUP) standard in section 3.2.6.</w:t>
            </w:r>
          </w:p>
          <w:p>
            <w:pPr>
              <w:pStyle w:val="Normal"/>
              <w:widowControl w:val="false"/>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BPA-TBL</w:t>
            </w:r>
          </w:p>
        </w:tc>
        <w:tc>
          <w:tcPr>
            <w:tcW w:w="1728"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widowControl w:val="false"/>
              <w:rPr>
                <w:rFonts w:ascii="Arial" w:hAnsi="Arial" w:cs="Arial"/>
                <w:u w:val="single"/>
              </w:rPr>
            </w:pPr>
            <w:r>
              <w:rPr>
                <w:rFonts w:cs="Arial" w:ascii="Arial" w:hAnsi="Arial"/>
                <w:u w:val="single"/>
              </w:rPr>
              <w:t>4. Operating Standards</w:t>
            </w:r>
          </w:p>
          <w:p>
            <w:pPr>
              <w:pStyle w:val="Normal"/>
              <w:widowControl w:val="false"/>
              <w:rPr>
                <w:rFonts w:ascii="Arial" w:hAnsi="Arial" w:cs="Arial"/>
                <w:u w:val="single"/>
              </w:rPr>
            </w:pPr>
            <w:r>
              <w:rPr>
                <w:rFonts w:cs="Arial" w:ascii="Arial" w:hAnsi="Arial"/>
                <w:u w:val="single"/>
              </w:rPr>
            </w:r>
          </w:p>
          <w:p>
            <w:pPr>
              <w:pStyle w:val="Normal"/>
              <w:widowControl w:val="false"/>
              <w:tabs>
                <w:tab w:val="clear" w:pos="720"/>
                <w:tab w:val="left" w:pos="360" w:leader="none"/>
              </w:tabs>
              <w:rPr/>
            </w:pPr>
            <w:r>
              <w:rPr>
                <w:rFonts w:cs="Arial" w:ascii="Arial" w:hAnsi="Arial"/>
              </w:rPr>
              <w:tab/>
            </w:r>
            <w:r>
              <w:rPr>
                <w:rFonts w:cs="Arial" w:ascii="Arial" w:hAnsi="Arial"/>
                <w:u w:val="single"/>
              </w:rPr>
              <w:t>4.2 (Operating Standards)</w:t>
            </w:r>
          </w:p>
          <w:p>
            <w:pPr>
              <w:pStyle w:val="Normal"/>
              <w:widowControl w:val="false"/>
              <w:numPr>
                <w:ilvl w:val="0"/>
                <w:numId w:val="8"/>
              </w:numPr>
              <w:tabs>
                <w:tab w:val="clear" w:pos="720"/>
                <w:tab w:val="left" w:pos="360" w:leader="none"/>
              </w:tabs>
              <w:ind w:hanging="360" w:start="720" w:end="0"/>
              <w:rPr>
                <w:rFonts w:ascii="Arial" w:hAnsi="Arial" w:cs="Arial"/>
                <w:sz w:val="22"/>
              </w:rPr>
            </w:pPr>
            <w:r>
              <w:rPr>
                <w:rFonts w:cs="Arial" w:ascii="Arial" w:hAnsi="Arial"/>
                <w:sz w:val="22"/>
                <w:lang w:eastAsia="en-US"/>
              </w:rPr>
              <w:t>Federal entities cannot agree to specific performance remedy</w:t>
            </w:r>
          </w:p>
          <w:p>
            <w:pPr>
              <w:pStyle w:val="Normal"/>
              <w:widowControl w:val="false"/>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sz w:val="22"/>
              </w:rPr>
            </w:pPr>
            <w:r>
              <w:rPr>
                <w:rFonts w:cs="Arial" w:ascii="Arial" w:hAnsi="Arial"/>
                <w:sz w:val="22"/>
              </w:rPr>
              <w:t>BPA-TBL</w:t>
            </w:r>
          </w:p>
        </w:tc>
        <w:tc>
          <w:tcPr>
            <w:tcW w:w="1728" w:type="dxa"/>
            <w:tcBorders>
              <w:top w:val="single" w:sz="4" w:space="0" w:color="000000"/>
              <w:start w:val="single" w:sz="4" w:space="0" w:color="000000"/>
              <w:bottom w:val="single" w:sz="4" w:space="0" w:color="000000"/>
              <w:end w:val="double" w:sz="4" w:space="0" w:color="000000"/>
            </w:tcBorders>
          </w:tcPr>
          <w:p>
            <w:pPr>
              <w:pStyle w:val="Normal"/>
              <w:widowControl w:val="false"/>
              <w:snapToGrid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r>
          </w:p>
          <w:p>
            <w:pPr>
              <w:pStyle w:val="Normal"/>
              <w:widowControl w:val="false"/>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5.  Operational Requirements</w:t>
            </w:r>
          </w:p>
          <w:p>
            <w:pPr>
              <w:pStyle w:val="Normal"/>
              <w:rPr>
                <w:rFonts w:ascii="Arial" w:hAnsi="Arial" w:cs="Arial"/>
                <w:u w:val="single"/>
              </w:rPr>
            </w:pPr>
            <w:r>
              <w:rPr>
                <w:rFonts w:cs="Arial" w:ascii="Arial" w:hAnsi="Arial"/>
                <w:u w:val="single"/>
              </w:rPr>
            </w:r>
          </w:p>
          <w:p>
            <w:pPr>
              <w:pStyle w:val="Normal"/>
              <w:tabs>
                <w:tab w:val="clear" w:pos="720"/>
                <w:tab w:val="left" w:pos="360" w:leader="none"/>
              </w:tabs>
              <w:rPr/>
            </w:pPr>
            <w:r>
              <w:rPr>
                <w:rFonts w:cs="Arial" w:ascii="Arial" w:hAnsi="Arial"/>
              </w:rPr>
              <w:tab/>
            </w:r>
            <w:r>
              <w:rPr>
                <w:rFonts w:cs="Arial" w:ascii="Arial" w:hAnsi="Arial"/>
                <w:u w:val="single"/>
              </w:rPr>
              <w:t>5.1.1 (Reactive Power Requirements)</w:t>
            </w:r>
          </w:p>
          <w:p>
            <w:pPr>
              <w:pStyle w:val="Normal"/>
              <w:numPr>
                <w:ilvl w:val="0"/>
                <w:numId w:val="11"/>
              </w:numPr>
              <w:tabs>
                <w:tab w:val="clear" w:pos="720"/>
                <w:tab w:val="left" w:pos="360" w:leader="none"/>
              </w:tabs>
              <w:ind w:hanging="360" w:start="720" w:end="0"/>
              <w:rPr>
                <w:rFonts w:ascii="Arial" w:hAnsi="Arial" w:cs="Arial"/>
                <w:sz w:val="22"/>
              </w:rPr>
            </w:pPr>
            <w:r>
              <w:rPr>
                <w:rFonts w:cs="Arial" w:ascii="Arial" w:hAnsi="Arial"/>
                <w:sz w:val="22"/>
                <w:lang w:eastAsia="en-US"/>
              </w:rPr>
              <w:t>Change power factor minimum range from 95% to 97%.</w:t>
            </w:r>
          </w:p>
          <w:p>
            <w:pPr>
              <w:pStyle w:val="Normal"/>
              <w:tabs>
                <w:tab w:val="clear" w:pos="720"/>
                <w:tab w:val="left" w:pos="360" w:leader="none"/>
              </w:tabs>
              <w:rPr>
                <w:rFonts w:ascii="Arial" w:hAnsi="Arial" w:cs="Arial"/>
                <w:sz w:val="22"/>
              </w:rPr>
            </w:pPr>
            <w:r>
              <w:rPr>
                <w:rFonts w:cs="Arial" w:ascii="Arial" w:hAnsi="Arial"/>
                <w:sz w:val="22"/>
              </w:rPr>
            </w:r>
          </w:p>
          <w:p>
            <w:pPr>
              <w:pStyle w:val="Normal"/>
              <w:tabs>
                <w:tab w:val="clear" w:pos="720"/>
                <w:tab w:val="left" w:pos="360" w:leader="none"/>
              </w:tabs>
              <w:rPr/>
            </w:pPr>
            <w:r>
              <w:rPr>
                <w:rFonts w:cs="Arial" w:ascii="Arial" w:hAnsi="Arial"/>
              </w:rPr>
              <w:tab/>
            </w:r>
            <w:r>
              <w:rPr>
                <w:rFonts w:cs="Arial" w:ascii="Arial" w:hAnsi="Arial"/>
                <w:u w:val="single"/>
              </w:rPr>
              <w:t>5.2.1 (Load Shedding)</w:t>
            </w:r>
          </w:p>
          <w:p>
            <w:pPr>
              <w:pStyle w:val="Normal"/>
              <w:numPr>
                <w:ilvl w:val="0"/>
                <w:numId w:val="18"/>
              </w:numPr>
              <w:tabs>
                <w:tab w:val="clear" w:pos="720"/>
                <w:tab w:val="left" w:pos="360" w:leader="none"/>
              </w:tabs>
              <w:ind w:hanging="360" w:start="720" w:end="0"/>
              <w:rPr>
                <w:rFonts w:ascii="Arial" w:hAnsi="Arial" w:cs="Arial"/>
                <w:sz w:val="22"/>
                <w:u w:val="single"/>
              </w:rPr>
            </w:pPr>
            <w:r>
              <w:rPr>
                <w:rFonts w:cs="Arial" w:ascii="Arial" w:hAnsi="Arial"/>
                <w:sz w:val="22"/>
                <w:lang w:eastAsia="en-US"/>
              </w:rPr>
              <w:t>In certain instances, BPA (not the Interconnected Load) owns the relay equipment connected to end-user loads in utility service areas to address underfrequency and undervoltage problems.</w:t>
            </w:r>
          </w:p>
          <w:p>
            <w:pPr>
              <w:pStyle w:val="Normal"/>
              <w:tabs>
                <w:tab w:val="clear" w:pos="720"/>
                <w:tab w:val="left" w:pos="360" w:leader="none"/>
              </w:tabs>
              <w:ind w:start="360" w:end="0"/>
              <w:rPr>
                <w:rFonts w:ascii="Arial" w:hAnsi="Arial" w:cs="Arial"/>
                <w:sz w:val="22"/>
                <w:u w:val="single"/>
                <w:lang w:eastAsia="en-US"/>
              </w:rPr>
            </w:pPr>
            <w:r>
              <w:rPr>
                <w:rFonts w:cs="Arial" w:ascii="Arial" w:hAnsi="Arial"/>
                <w:sz w:val="22"/>
                <w:u w:val="single"/>
                <w:lang w:eastAsia="en-US"/>
              </w:rPr>
            </w:r>
          </w:p>
          <w:p>
            <w:pPr>
              <w:pStyle w:val="Normal"/>
              <w:tabs>
                <w:tab w:val="clear" w:pos="720"/>
                <w:tab w:val="left" w:pos="360" w:leader="none"/>
              </w:tabs>
              <w:rPr>
                <w:rFonts w:ascii="Arial" w:hAnsi="Arial" w:cs="Arial"/>
                <w:u w:val="single"/>
              </w:rPr>
            </w:pPr>
            <w:r>
              <w:rPr>
                <w:rFonts w:cs="Arial" w:ascii="Arial" w:hAnsi="Arial"/>
                <w:lang w:eastAsia="en-US"/>
              </w:rPr>
              <w:tab/>
            </w:r>
            <w:r>
              <w:rPr>
                <w:rFonts w:cs="Arial" w:ascii="Arial" w:hAnsi="Arial"/>
                <w:u w:val="single"/>
                <w:lang w:eastAsia="en-US"/>
              </w:rPr>
              <w:t>5.3 (Power Quality)</w:t>
            </w:r>
          </w:p>
          <w:p>
            <w:pPr>
              <w:pStyle w:val="Normal"/>
              <w:numPr>
                <w:ilvl w:val="0"/>
                <w:numId w:val="18"/>
              </w:numPr>
              <w:tabs>
                <w:tab w:val="clear" w:pos="720"/>
                <w:tab w:val="left" w:pos="360" w:leader="none"/>
              </w:tabs>
              <w:ind w:hanging="360" w:start="720" w:end="0"/>
              <w:rPr>
                <w:rFonts w:ascii="Arial" w:hAnsi="Arial" w:cs="Arial"/>
                <w:sz w:val="22"/>
                <w:u w:val="single"/>
              </w:rPr>
            </w:pPr>
            <w:r>
              <w:rPr>
                <w:rFonts w:cs="Arial" w:ascii="Arial" w:hAnsi="Arial"/>
                <w:sz w:val="22"/>
                <w:lang w:eastAsia="en-US"/>
              </w:rPr>
              <w:t>Suggest RTO should also have responsibilities to customers for power quality (e.g. harmonics), i.e., mutual obligations.</w:t>
            </w:r>
          </w:p>
          <w:p>
            <w:pPr>
              <w:pStyle w:val="Normal"/>
              <w:tabs>
                <w:tab w:val="clear" w:pos="720"/>
                <w:tab w:val="left" w:pos="360" w:leader="none"/>
              </w:tabs>
              <w:rPr>
                <w:rFonts w:ascii="Arial" w:hAnsi="Arial" w:cs="Arial"/>
                <w:sz w:val="22"/>
                <w:u w:val="single"/>
                <w:lang w:eastAsia="en-US"/>
              </w:rPr>
            </w:pPr>
            <w:r>
              <w:rPr>
                <w:rFonts w:cs="Arial" w:ascii="Arial" w:hAnsi="Arial"/>
                <w:sz w:val="22"/>
                <w:u w:val="single"/>
                <w:lang w:eastAsia="en-US"/>
              </w:rPr>
            </w:r>
          </w:p>
          <w:p>
            <w:pPr>
              <w:pStyle w:val="Normal"/>
              <w:tabs>
                <w:tab w:val="clear" w:pos="720"/>
                <w:tab w:val="left" w:pos="360" w:leader="none"/>
              </w:tabs>
              <w:rPr>
                <w:rFonts w:ascii="Arial" w:hAnsi="Arial" w:cs="Arial"/>
                <w:sz w:val="22"/>
                <w:u w:val="single"/>
              </w:rPr>
            </w:pPr>
            <w:r>
              <w:rPr>
                <w:rFonts w:cs="Arial" w:ascii="Arial" w:hAnsi="Arial"/>
                <w:lang w:eastAsia="en-US"/>
              </w:rPr>
              <w:tab/>
            </w:r>
            <w:r>
              <w:rPr>
                <w:rFonts w:cs="Arial" w:ascii="Arial" w:hAnsi="Arial"/>
                <w:u w:val="single"/>
                <w:lang w:eastAsia="en-US"/>
              </w:rPr>
              <w:t>5.4 (Generator Interconnections)</w:t>
            </w:r>
          </w:p>
          <w:p>
            <w:pPr>
              <w:pStyle w:val="Normal"/>
              <w:numPr>
                <w:ilvl w:val="0"/>
                <w:numId w:val="18"/>
              </w:numPr>
              <w:tabs>
                <w:tab w:val="clear" w:pos="720"/>
                <w:tab w:val="left" w:pos="360" w:leader="none"/>
              </w:tabs>
              <w:ind w:hanging="360" w:start="720" w:end="0"/>
              <w:rPr>
                <w:rFonts w:ascii="Arial" w:hAnsi="Arial" w:cs="Arial"/>
                <w:sz w:val="22"/>
                <w:u w:val="single"/>
              </w:rPr>
            </w:pPr>
            <w:r>
              <w:rPr>
                <w:rFonts w:cs="Arial" w:ascii="Arial" w:hAnsi="Arial"/>
                <w:sz w:val="22"/>
                <w:lang w:eastAsia="en-US"/>
              </w:rPr>
              <w:t>Address the question - "Should there be a size limit on the prohibition against interconnecting generating facilities (e.g. micro-units such as fuel cells)?"</w:t>
            </w:r>
          </w:p>
          <w:p>
            <w:pPr>
              <w:pStyle w:val="Normal"/>
              <w:tabs>
                <w:tab w:val="clear" w:pos="720"/>
                <w:tab w:val="left" w:pos="360" w:leader="none"/>
              </w:tabs>
              <w:rPr>
                <w:rFonts w:ascii="Arial" w:hAnsi="Arial" w:cs="Arial"/>
                <w:sz w:val="22"/>
                <w:u w:val="single"/>
                <w:lang w:eastAsia="en-US"/>
              </w:rPr>
            </w:pPr>
            <w:r>
              <w:rPr>
                <w:rFonts w:cs="Arial" w:ascii="Arial" w:hAnsi="Arial"/>
                <w:sz w:val="22"/>
                <w:u w:val="single"/>
                <w:lang w:eastAsia="en-US"/>
              </w:rPr>
            </w:r>
          </w:p>
          <w:p>
            <w:pPr>
              <w:pStyle w:val="Normal"/>
              <w:tabs>
                <w:tab w:val="clear" w:pos="720"/>
                <w:tab w:val="left" w:pos="360" w:leader="none"/>
              </w:tabs>
              <w:rPr>
                <w:rFonts w:ascii="Arial" w:hAnsi="Arial" w:cs="Arial"/>
                <w:sz w:val="22"/>
                <w:u w:val="single"/>
              </w:rPr>
            </w:pPr>
            <w:r>
              <w:rPr>
                <w:rFonts w:cs="Arial" w:ascii="Arial" w:hAnsi="Arial"/>
                <w:lang w:eastAsia="en-US"/>
              </w:rPr>
              <w:tab/>
            </w:r>
            <w:r>
              <w:rPr>
                <w:rFonts w:cs="Arial" w:ascii="Arial" w:hAnsi="Arial"/>
                <w:u w:val="single"/>
                <w:lang w:eastAsia="en-US"/>
              </w:rPr>
              <w:t>5.8 (Opening of Interconnection Facilities)</w:t>
            </w:r>
          </w:p>
          <w:p>
            <w:pPr>
              <w:pStyle w:val="Normal"/>
              <w:numPr>
                <w:ilvl w:val="0"/>
                <w:numId w:val="18"/>
              </w:numPr>
              <w:tabs>
                <w:tab w:val="clear" w:pos="720"/>
                <w:tab w:val="left" w:pos="360" w:leader="none"/>
              </w:tabs>
              <w:ind w:hanging="360" w:start="720" w:end="0"/>
              <w:rPr>
                <w:rFonts w:ascii="Arial" w:hAnsi="Arial" w:cs="Arial"/>
                <w:sz w:val="22"/>
                <w:u w:val="single"/>
              </w:rPr>
            </w:pPr>
            <w:r>
              <w:rPr>
                <w:rFonts w:cs="Arial" w:ascii="Arial" w:hAnsi="Arial"/>
                <w:sz w:val="22"/>
                <w:lang w:eastAsia="en-US"/>
              </w:rPr>
              <w:t>Address the questions - "What are the conditions? What are the kinds of restoration?"</w:t>
            </w:r>
          </w:p>
          <w:p>
            <w:pPr>
              <w:pStyle w:val="Normal"/>
              <w:rPr>
                <w:rFonts w:ascii="Arial" w:hAnsi="Arial" w:cs="Arial"/>
                <w:sz w:val="22"/>
                <w:u w:val="single"/>
                <w:lang w:eastAsia="en-US"/>
              </w:rPr>
            </w:pPr>
            <w:r>
              <w:rPr>
                <w:rFonts w:cs="Arial" w:ascii="Arial" w:hAnsi="Arial"/>
                <w:sz w:val="22"/>
                <w:u w:val="single"/>
                <w:lang w:eastAsia="en-US"/>
              </w:rPr>
            </w:r>
          </w:p>
          <w:p>
            <w:pPr>
              <w:pStyle w:val="Normal"/>
              <w:tabs>
                <w:tab w:val="clear" w:pos="720"/>
                <w:tab w:val="left" w:pos="360" w:leader="none"/>
              </w:tabs>
              <w:rPr>
                <w:lang w:eastAsia="en-US"/>
              </w:rPr>
            </w:pPr>
            <w:r>
              <w:rPr>
                <w:rFonts w:cs="Arial" w:ascii="Arial" w:hAnsi="Arial"/>
                <w:lang w:eastAsia="en-US"/>
              </w:rPr>
              <w:tab/>
            </w:r>
            <w:r>
              <w:rPr>
                <w:rFonts w:cs="Arial" w:ascii="Arial" w:hAnsi="Arial"/>
                <w:u w:val="single"/>
                <w:lang w:eastAsia="en-US"/>
              </w:rPr>
              <w:t>5.9 (Compliance with Regional Security Plan)</w:t>
            </w:r>
          </w:p>
          <w:p>
            <w:pPr>
              <w:pStyle w:val="Normal"/>
              <w:numPr>
                <w:ilvl w:val="0"/>
                <w:numId w:val="21"/>
              </w:numPr>
              <w:ind w:hanging="360" w:start="720" w:end="0"/>
              <w:rPr>
                <w:rFonts w:ascii="Arial" w:hAnsi="Arial" w:cs="Arial"/>
                <w:sz w:val="22"/>
                <w:u w:val="single"/>
              </w:rPr>
            </w:pPr>
            <w:r>
              <w:rPr>
                <w:rFonts w:cs="Arial" w:ascii="Arial" w:hAnsi="Arial"/>
                <w:sz w:val="22"/>
                <w:lang w:eastAsia="en-US"/>
              </w:rPr>
              <w:t>Determine where the regional security coordinator functions should reside.</w:t>
            </w:r>
          </w:p>
          <w:p>
            <w:pPr>
              <w:pStyle w:val="Normal"/>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snapToGrid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5"/>
              </w:numPr>
              <w:rPr>
                <w:rFonts w:ascii="Arial" w:hAnsi="Arial" w:cs="Arial"/>
                <w:u w:val="single"/>
              </w:rPr>
            </w:pPr>
            <w:r>
              <w:rPr>
                <w:rFonts w:cs="Arial" w:ascii="Arial" w:hAnsi="Arial"/>
                <w:u w:val="single"/>
              </w:rPr>
              <w:t>Special Arrangements and Most Favored Nations Option</w:t>
            </w:r>
          </w:p>
          <w:p>
            <w:pPr>
              <w:pStyle w:val="Normal"/>
              <w:numPr>
                <w:ilvl w:val="0"/>
                <w:numId w:val="1"/>
              </w:numPr>
              <w:tabs>
                <w:tab w:val="clear" w:pos="720"/>
              </w:tabs>
              <w:ind w:hanging="360" w:start="720" w:end="0"/>
              <w:rPr>
                <w:rFonts w:ascii="Arial" w:hAnsi="Arial" w:cs="Arial"/>
                <w:sz w:val="22"/>
              </w:rPr>
            </w:pPr>
            <w:r>
              <w:rPr>
                <w:rFonts w:cs="Arial" w:ascii="Arial" w:hAnsi="Arial"/>
                <w:sz w:val="22"/>
              </w:rPr>
              <w:t>review PNSC agreement for its approach to “special arrangements.”</w:t>
            </w:r>
          </w:p>
          <w:p>
            <w:pPr>
              <w:pStyle w:val="Normal"/>
              <w:ind w:start="360" w:end="0"/>
              <w:rPr>
                <w:rFonts w:ascii="Arial" w:hAnsi="Arial" w:cs="Arial"/>
                <w:sz w:val="22"/>
              </w:rPr>
            </w:pPr>
            <w:r>
              <w:rPr>
                <w:rFonts w:cs="Arial" w:ascii="Arial" w:hAnsi="Arial"/>
                <w:sz w:val="22"/>
              </w:rPr>
            </w:r>
          </w:p>
          <w:p>
            <w:pPr>
              <w:pStyle w:val="Normal"/>
              <w:numPr>
                <w:ilvl w:val="0"/>
                <w:numId w:val="1"/>
              </w:numPr>
              <w:tabs>
                <w:tab w:val="clear" w:pos="720"/>
              </w:tabs>
              <w:ind w:hanging="360" w:start="720" w:end="0"/>
              <w:rPr>
                <w:rFonts w:ascii="Arial" w:hAnsi="Arial" w:cs="Arial"/>
                <w:sz w:val="22"/>
              </w:rPr>
            </w:pPr>
            <w:r>
              <w:rPr>
                <w:rFonts w:cs="Arial" w:ascii="Arial" w:hAnsi="Arial"/>
                <w:sz w:val="22"/>
              </w:rPr>
              <w:t>There needs to be further consideration of the “Special Arrangements and Most Favored Nation Option.”</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7.  Ancillary Services</w:t>
            </w:r>
          </w:p>
          <w:p>
            <w:pPr>
              <w:pStyle w:val="Normal"/>
              <w:numPr>
                <w:ilvl w:val="0"/>
                <w:numId w:val="2"/>
              </w:numPr>
              <w:ind w:hanging="360" w:start="720" w:end="0"/>
              <w:rPr>
                <w:rFonts w:ascii="Arial" w:hAnsi="Arial" w:cs="Arial"/>
                <w:sz w:val="22"/>
              </w:rPr>
            </w:pPr>
            <w:r>
              <w:rPr>
                <w:rFonts w:cs="Arial" w:ascii="Arial" w:hAnsi="Arial"/>
                <w:sz w:val="22"/>
              </w:rPr>
              <w:t>There needs to be further review in the area of ancillary services.</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 or 3</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8.  IndeGO Confidentiality Obligations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2"/>
              </w:numPr>
              <w:rPr>
                <w:rFonts w:ascii="Arial" w:hAnsi="Arial" w:cs="Arial"/>
              </w:rPr>
            </w:pPr>
            <w:r>
              <w:rPr>
                <w:rFonts w:cs="Arial" w:ascii="Arial" w:hAnsi="Arial"/>
              </w:rPr>
              <w:t>Limitation of Liability and Insurance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u w:val="single"/>
              </w:rPr>
            </w:pPr>
            <w:r>
              <w:rPr>
                <w:rFonts w:cs="Arial" w:ascii="Arial" w:hAnsi="Arial"/>
                <w:u w:val="single"/>
              </w:rPr>
              <w:t>10.  Assignments and Conveyances</w:t>
            </w:r>
          </w:p>
          <w:p>
            <w:pPr>
              <w:pStyle w:val="Normal"/>
              <w:tabs>
                <w:tab w:val="clear" w:pos="720"/>
                <w:tab w:val="left" w:pos="360" w:leader="none"/>
              </w:tabs>
              <w:rPr>
                <w:rFonts w:ascii="Arial" w:hAnsi="Arial" w:cs="Arial"/>
                <w:u w:val="single"/>
              </w:rPr>
            </w:pPr>
            <w:r>
              <w:rPr>
                <w:rFonts w:cs="Arial" w:ascii="Arial" w:hAnsi="Arial"/>
                <w:u w:val="single"/>
              </w:rPr>
            </w:r>
          </w:p>
          <w:p>
            <w:pPr>
              <w:pStyle w:val="Normal"/>
              <w:tabs>
                <w:tab w:val="clear" w:pos="720"/>
                <w:tab w:val="left" w:pos="360" w:leader="none"/>
              </w:tabs>
              <w:ind w:start="450" w:end="0"/>
              <w:rPr>
                <w:rFonts w:ascii="Arial" w:hAnsi="Arial" w:cs="Arial"/>
                <w:u w:val="single"/>
              </w:rPr>
            </w:pPr>
            <w:r>
              <w:rPr>
                <w:rFonts w:cs="Arial" w:ascii="Arial" w:hAnsi="Arial"/>
                <w:u w:val="single"/>
              </w:rPr>
              <w:t>10.2 (Assignment of the Interconnecting Party’s Rights and Obligations)</w:t>
            </w:r>
          </w:p>
          <w:p>
            <w:pPr>
              <w:pStyle w:val="Normal"/>
              <w:numPr>
                <w:ilvl w:val="0"/>
                <w:numId w:val="19"/>
              </w:numPr>
              <w:tabs>
                <w:tab w:val="clear" w:pos="720"/>
                <w:tab w:val="left" w:pos="360" w:leader="none"/>
              </w:tabs>
              <w:ind w:hanging="360" w:start="720" w:end="0"/>
              <w:rPr>
                <w:rFonts w:ascii="Arial" w:hAnsi="Arial" w:cs="Arial"/>
                <w:sz w:val="22"/>
              </w:rPr>
            </w:pPr>
            <w:r>
              <w:rPr>
                <w:rFonts w:cs="Arial" w:ascii="Arial" w:hAnsi="Arial"/>
                <w:sz w:val="22"/>
              </w:rPr>
              <w:t>There are Federal laws that address assignment actions that may need to be added to the Agreement.</w:t>
            </w:r>
          </w:p>
          <w:p>
            <w:pPr>
              <w:pStyle w:val="Normal"/>
              <w:tabs>
                <w:tab w:val="clear" w:pos="720"/>
                <w:tab w:val="left" w:pos="360" w:leader="none"/>
              </w:tabs>
              <w:rPr>
                <w:rFonts w:ascii="Arial" w:hAnsi="Arial" w:cs="Arial"/>
                <w:sz w:val="22"/>
              </w:rPr>
            </w:pPr>
            <w:r>
              <w:rPr>
                <w:rFonts w:cs="Arial" w:ascii="Arial" w:hAnsi="Arial"/>
                <w:sz w:val="22"/>
              </w:rPr>
            </w:r>
          </w:p>
          <w:p>
            <w:pPr>
              <w:pStyle w:val="Normal"/>
              <w:tabs>
                <w:tab w:val="clear" w:pos="720"/>
                <w:tab w:val="left" w:pos="360" w:leader="none"/>
              </w:tabs>
              <w:rPr/>
            </w:pPr>
            <w:r>
              <w:rPr>
                <w:rFonts w:cs="Arial" w:ascii="Arial" w:hAnsi="Arial"/>
              </w:rPr>
              <w:tab/>
            </w:r>
            <w:r>
              <w:rPr>
                <w:rFonts w:cs="Arial" w:ascii="Arial" w:hAnsi="Arial"/>
                <w:u w:val="single"/>
              </w:rPr>
              <w:t>10.3 (Transfer of Rights Affecting Facilities)</w:t>
            </w:r>
          </w:p>
          <w:p>
            <w:pPr>
              <w:pStyle w:val="Normal"/>
              <w:numPr>
                <w:ilvl w:val="0"/>
                <w:numId w:val="17"/>
              </w:numPr>
              <w:tabs>
                <w:tab w:val="clear" w:pos="720"/>
                <w:tab w:val="left" w:pos="360" w:leader="none"/>
              </w:tabs>
              <w:ind w:hanging="360" w:start="720" w:end="0"/>
              <w:rPr>
                <w:rFonts w:ascii="Arial" w:hAnsi="Arial" w:cs="Arial"/>
                <w:sz w:val="22"/>
                <w:u w:val="single"/>
              </w:rPr>
            </w:pPr>
            <w:r>
              <w:rPr>
                <w:rFonts w:cs="Arial" w:ascii="Arial" w:hAnsi="Arial"/>
                <w:sz w:val="22"/>
              </w:rPr>
              <w:t xml:space="preserve">Condemnation authority with regard to Federal agencies is limited and may need to be addressed in the Agreement </w:t>
            </w:r>
            <w:r>
              <w:rPr>
                <w:rFonts w:cs="Arial" w:ascii="Arial" w:hAnsi="Arial"/>
                <w:sz w:val="20"/>
              </w:rPr>
              <w:t>(</w:t>
            </w:r>
            <w:r>
              <w:rPr>
                <w:rFonts w:cs="Arial" w:ascii="Arial" w:hAnsi="Arial"/>
                <w:b/>
                <w:i/>
                <w:sz w:val="20"/>
              </w:rPr>
              <w:t>Note – this may not be the correct section reference</w:t>
            </w:r>
            <w:r>
              <w:rPr>
                <w:rFonts w:cs="Arial" w:ascii="Arial" w:hAnsi="Arial"/>
                <w:sz w:val="20"/>
              </w:rPr>
              <w:t>)</w:t>
            </w:r>
          </w:p>
          <w:p>
            <w:pPr>
              <w:pStyle w:val="Normal"/>
              <w:rPr>
                <w:rFonts w:ascii="Arial" w:hAnsi="Arial" w:cs="Arial"/>
                <w:sz w:val="22"/>
                <w:u w:val="single"/>
              </w:rPr>
            </w:pPr>
            <w:r>
              <w:rPr>
                <w:rFonts w:cs="Arial" w:ascii="Arial" w:hAnsi="Arial"/>
                <w:sz w:val="22"/>
                <w:u w:val="single"/>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Federal Parties</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sz w:val="22"/>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t>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32"/>
              </w:rPr>
            </w:pPr>
            <w:r>
              <w:rPr>
                <w:rFonts w:cs="Arial" w:ascii="Arial" w:hAnsi="Arial"/>
                <w:sz w:val="32"/>
              </w:rPr>
            </w:r>
          </w:p>
          <w:p>
            <w:pPr>
              <w:pStyle w:val="Normal"/>
              <w:rPr>
                <w:rFonts w:ascii="Arial" w:hAnsi="Arial" w:cs="Arial"/>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11.  No Guarantee of Uninterrupted Transmission Service or Continuous Supply of Electrical Power or Energy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rHeight w:val="278" w:hRule="atLeast"/>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12.  Billing and Payment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13.  Uncontrollable Force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13"/>
              </w:numPr>
              <w:rPr>
                <w:u w:val="single"/>
                <w:lang w:eastAsia="en-US"/>
              </w:rPr>
            </w:pPr>
            <w:r>
              <w:rPr>
                <w:rFonts w:eastAsia="Arial" w:cs="Arial" w:ascii="Arial" w:hAnsi="Arial"/>
                <w:u w:val="single"/>
              </w:rPr>
              <w:t xml:space="preserve">  </w:t>
            </w:r>
            <w:r>
              <w:rPr>
                <w:rFonts w:cs="Arial" w:ascii="Arial" w:hAnsi="Arial"/>
                <w:u w:val="single"/>
              </w:rPr>
              <w:t>Dispute Resolution</w:t>
            </w:r>
          </w:p>
          <w:p>
            <w:pPr>
              <w:pStyle w:val="Normal"/>
              <w:numPr>
                <w:ilvl w:val="0"/>
                <w:numId w:val="16"/>
              </w:numPr>
              <w:ind w:hanging="360" w:start="720" w:end="0"/>
              <w:rPr>
                <w:rFonts w:ascii="Arial" w:hAnsi="Arial" w:cs="Arial"/>
                <w:sz w:val="22"/>
              </w:rPr>
            </w:pPr>
            <w:r>
              <w:rPr>
                <w:rFonts w:cs="Arial" w:ascii="Arial" w:hAnsi="Arial"/>
                <w:sz w:val="22"/>
              </w:rPr>
              <w:t>Consider specialized technical arbitration for these types of disputes.</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BPA-TBL</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15.  Notices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16.  Amendments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17.  Construction of Agreement</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18.  Integration</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19.  Preservation of Obligations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numPr>
                <w:ilvl w:val="0"/>
                <w:numId w:val="3"/>
              </w:numPr>
              <w:rPr>
                <w:rFonts w:ascii="Arial" w:hAnsi="Arial" w:cs="Arial"/>
              </w:rPr>
            </w:pPr>
            <w:r>
              <w:rPr>
                <w:rFonts w:eastAsia="Arial" w:cs="Arial" w:ascii="Arial" w:hAnsi="Arial"/>
              </w:rPr>
              <w:t xml:space="preserve">  </w:t>
            </w:r>
            <w:r>
              <w:rPr>
                <w:rFonts w:cs="Arial" w:ascii="Arial" w:hAnsi="Arial"/>
              </w:rPr>
              <w:t>Existing Agreements Preserved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rPr>
                <w:rFonts w:ascii="Arial" w:hAnsi="Arial" w:cs="Arial"/>
              </w:rPr>
            </w:pPr>
            <w:r>
              <w:rPr>
                <w:rFonts w:cs="Arial" w:ascii="Arial" w:hAnsi="Arial"/>
              </w:rPr>
              <w:t>21.  Other Obligations Preserved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sz w:val="22"/>
              </w:rPr>
            </w:pPr>
            <w:r>
              <w:rPr>
                <w:rFonts w:cs="Arial" w:ascii="Arial" w:hAnsi="Arial"/>
                <w:sz w:val="22"/>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keepNext w:val="true"/>
              <w:keepLines/>
              <w:rPr>
                <w:rFonts w:ascii="Arial" w:hAnsi="Arial" w:cs="Arial"/>
                <w:u w:val="single"/>
              </w:rPr>
            </w:pPr>
            <w:r>
              <w:rPr>
                <w:rFonts w:cs="Arial" w:ascii="Arial" w:hAnsi="Arial"/>
                <w:u w:val="single"/>
              </w:rPr>
              <w:t>22.  Governing Law</w:t>
            </w:r>
          </w:p>
          <w:p>
            <w:pPr>
              <w:pStyle w:val="Normal"/>
              <w:keepNext w:val="true"/>
              <w:keepLines/>
              <w:numPr>
                <w:ilvl w:val="0"/>
                <w:numId w:val="14"/>
              </w:numPr>
              <w:tabs>
                <w:tab w:val="clear" w:pos="720"/>
              </w:tabs>
              <w:ind w:hanging="360" w:start="720" w:end="0"/>
              <w:rPr>
                <w:rFonts w:ascii="Arial" w:hAnsi="Arial" w:cs="Arial"/>
                <w:sz w:val="22"/>
              </w:rPr>
            </w:pPr>
            <w:r>
              <w:rPr>
                <w:rFonts w:cs="Arial" w:ascii="Arial" w:hAnsi="Arial"/>
                <w:sz w:val="22"/>
              </w:rPr>
              <w:t>review PNSC agreement for possible better language.</w:t>
            </w:r>
          </w:p>
          <w:p>
            <w:pPr>
              <w:pStyle w:val="Normal"/>
              <w:keepNext w:val="true"/>
              <w:keepLines/>
              <w:ind w:start="360" w:end="0"/>
              <w:rPr>
                <w:rFonts w:ascii="Arial" w:hAnsi="Arial" w:cs="Arial"/>
                <w:sz w:val="22"/>
              </w:rPr>
            </w:pPr>
            <w:r>
              <w:rPr>
                <w:rFonts w:cs="Arial" w:ascii="Arial" w:hAnsi="Arial"/>
                <w:sz w:val="22"/>
              </w:rPr>
            </w:r>
          </w:p>
          <w:p>
            <w:pPr>
              <w:pStyle w:val="Normal"/>
              <w:numPr>
                <w:ilvl w:val="0"/>
                <w:numId w:val="14"/>
              </w:numPr>
              <w:tabs>
                <w:tab w:val="clear" w:pos="720"/>
              </w:tabs>
              <w:ind w:hanging="360" w:start="720" w:end="0"/>
              <w:rPr>
                <w:rFonts w:ascii="Arial" w:hAnsi="Arial" w:cs="Arial"/>
                <w:sz w:val="22"/>
              </w:rPr>
            </w:pPr>
            <w:r>
              <w:rPr>
                <w:rFonts w:cs="Arial" w:ascii="Arial" w:hAnsi="Arial"/>
                <w:sz w:val="22"/>
              </w:rPr>
              <w:t>The “Governing Law” provision needs to be clarified, probably with the language that was used in the Pacific Northwest Security Coordination Agreement.</w:t>
            </w:r>
          </w:p>
          <w:p>
            <w:pPr>
              <w:pStyle w:val="Normal"/>
              <w:rPr>
                <w:rFonts w:ascii="Arial" w:hAnsi="Arial" w:cs="Arial"/>
                <w:sz w:val="22"/>
              </w:rPr>
            </w:pPr>
            <w:r>
              <w:rPr>
                <w:rFonts w:cs="Arial" w:ascii="Arial" w:hAnsi="Arial"/>
                <w:sz w:val="22"/>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BPA-TBL</w:t>
            </w:r>
          </w:p>
          <w:p>
            <w:pPr>
              <w:pStyle w:val="Normal"/>
              <w:rPr>
                <w:rFonts w:ascii="Arial" w:hAnsi="Arial" w:cs="Arial"/>
                <w:sz w:val="26"/>
              </w:rPr>
            </w:pPr>
            <w:r>
              <w:rPr>
                <w:rFonts w:cs="Arial" w:ascii="Arial" w:hAnsi="Arial"/>
                <w:sz w:val="26"/>
              </w:rPr>
            </w:r>
          </w:p>
          <w:p>
            <w:pPr>
              <w:pStyle w:val="Normal"/>
              <w:rPr>
                <w:rFonts w:ascii="Arial" w:hAnsi="Arial" w:cs="Arial"/>
              </w:rPr>
            </w:pPr>
            <w:r>
              <w:rPr>
                <w:rFonts w:cs="Arial" w:ascii="Arial" w:hAnsi="Arial"/>
                <w:sz w:val="22"/>
              </w:rPr>
              <w:t>Federal Parties</w:t>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p>
            <w:pPr>
              <w:pStyle w:val="Normal"/>
              <w:rPr>
                <w:rFonts w:ascii="Arial" w:hAnsi="Arial" w:cs="Arial"/>
                <w:sz w:val="22"/>
              </w:rPr>
            </w:pPr>
            <w:r>
              <w:rPr>
                <w:rFonts w:cs="Arial" w:ascii="Arial" w:hAnsi="Arial"/>
                <w:sz w:val="22"/>
              </w:rPr>
              <w:t>1 or 2</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1 or 2</w:t>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23.  Severability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24.  Singular and Plural; Use of “Or”</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25.  Headings for Convenience Only</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26.  Relationship of the Parties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27.  No Third Party Beneficiaries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28.  No Dedication of Facilities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29.  Non-Waiver</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30.  Exhibits Incorporated</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31.  Further Assurances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single" w:sz="4" w:space="0" w:color="000000"/>
              <w:end w:val="single" w:sz="4" w:space="0" w:color="000000"/>
            </w:tcBorders>
          </w:tcPr>
          <w:p>
            <w:pPr>
              <w:pStyle w:val="Normal"/>
              <w:rPr>
                <w:rFonts w:ascii="Arial" w:hAnsi="Arial" w:cs="Arial"/>
              </w:rPr>
            </w:pPr>
            <w:r>
              <w:rPr>
                <w:rFonts w:cs="Arial" w:ascii="Arial" w:hAnsi="Arial"/>
              </w:rPr>
              <w:t>32.  Counterparts</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Arial" w:hAnsi="Arial" w:cs="Arial"/>
              </w:rPr>
            </w:pPr>
            <w:r>
              <w:rPr>
                <w:rFonts w:cs="Arial" w:ascii="Arial" w:hAnsi="Arial"/>
              </w:rPr>
            </w:r>
          </w:p>
        </w:tc>
      </w:tr>
      <w:tr>
        <w:trPr/>
        <w:tc>
          <w:tcPr>
            <w:tcW w:w="9288" w:type="dxa"/>
            <w:tcBorders>
              <w:top w:val="single" w:sz="4" w:space="0" w:color="000000"/>
              <w:start w:val="double" w:sz="4" w:space="0" w:color="000000"/>
              <w:bottom w:val="double" w:sz="4" w:space="0" w:color="000000"/>
              <w:end w:val="single" w:sz="4" w:space="0" w:color="000000"/>
            </w:tcBorders>
          </w:tcPr>
          <w:p>
            <w:pPr>
              <w:pStyle w:val="Normal"/>
              <w:rPr>
                <w:rFonts w:ascii="Arial" w:hAnsi="Arial" w:cs="Arial"/>
              </w:rPr>
            </w:pPr>
            <w:r>
              <w:rPr>
                <w:rFonts w:cs="Arial" w:ascii="Arial" w:hAnsi="Arial"/>
              </w:rPr>
              <w:t>[33.  For Western Area Power Administration:  No Violation of Applicable Law]</w:t>
            </w:r>
          </w:p>
        </w:tc>
        <w:tc>
          <w:tcPr>
            <w:tcW w:w="216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Arial" w:hAnsi="Arial" w:cs="Arial"/>
              </w:rPr>
            </w:pPr>
            <w:r>
              <w:rPr>
                <w:rFonts w:cs="Arial" w:ascii="Arial" w:hAnsi="Arial"/>
              </w:rPr>
            </w:r>
          </w:p>
        </w:tc>
        <w:tc>
          <w:tcPr>
            <w:tcW w:w="1728" w:type="dxa"/>
            <w:tcBorders>
              <w:top w:val="single" w:sz="4" w:space="0" w:color="000000"/>
              <w:start w:val="single" w:sz="4" w:space="0" w:color="000000"/>
              <w:bottom w:val="double" w:sz="4" w:space="0" w:color="000000"/>
              <w:end w:val="double" w:sz="4" w:space="0" w:color="000000"/>
            </w:tcBorders>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sectPr>
      <w:headerReference w:type="default" r:id="rId2"/>
      <w:footerReference w:type="default" r:id="rId3"/>
      <w:type w:val="nextPage"/>
      <w:pgSz w:orient="landscape" w:w="15840" w:h="12240"/>
      <w:pgMar w:left="1440" w:right="1440" w:gutter="0" w:header="720" w:top="1080" w:footer="15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3060" w:leader="none"/>
        <w:tab w:val="center" w:pos="4320" w:leader="none"/>
        <w:tab w:val="right" w:pos="8640" w:leader="none"/>
      </w:tabs>
      <w:ind w:hanging="2700" w:start="2700" w:end="0"/>
      <w:rPr>
        <w:rFonts w:ascii="Arial" w:hAnsi="Arial" w:cs="Arial"/>
        <w:sz w:val="22"/>
        <w:u w:val="single"/>
      </w:rPr>
    </w:pPr>
    <w:r>
      <w:rPr>
        <w:rFonts w:cs="Arial" w:ascii="Arial" w:hAnsi="Arial"/>
        <w:sz w:val="22"/>
        <w:u w:val="single"/>
      </w:rPr>
    </w:r>
  </w:p>
  <w:p>
    <w:pPr>
      <w:pStyle w:val="Footer"/>
      <w:tabs>
        <w:tab w:val="left" w:pos="3060" w:leader="none"/>
        <w:tab w:val="center" w:pos="4320" w:leader="none"/>
        <w:tab w:val="right" w:pos="8640" w:leader="none"/>
      </w:tabs>
      <w:ind w:hanging="2700" w:start="2700" w:end="0"/>
      <w:jc w:val="end"/>
      <w:rPr>
        <w:rFonts w:ascii="Arial" w:hAnsi="Arial" w:cs="Arial"/>
        <w:sz w:val="22"/>
        <w:u w:val="single"/>
      </w:rPr>
    </w:pPr>
    <w:r>
      <w:rPr>
        <w:rStyle w:val="PageNumbe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6</w:t>
    </w:r>
    <w:r>
      <w:rPr>
        <w:rStyle w:val="PageNumber"/>
        <w:sz w:val="22"/>
        <w:rFonts w:cs="Arial" w:ascii="Arial" w:hAnsi="Arial"/>
      </w:rPr>
      <w:fldChar w:fldCharType="end"/>
    </w:r>
  </w:p>
  <w:p>
    <w:pPr>
      <w:pStyle w:val="Footer"/>
      <w:tabs>
        <w:tab w:val="left" w:pos="3060" w:leader="none"/>
        <w:tab w:val="center" w:pos="4320" w:leader="none"/>
        <w:tab w:val="right" w:pos="8640" w:leader="none"/>
      </w:tabs>
      <w:ind w:hanging="2700" w:start="2700" w:end="0"/>
      <w:rPr/>
    </w:pPr>
    <w:r>
      <w:rPr>
        <w:rFonts w:cs="Arial" w:ascii="Arial" w:hAnsi="Arial"/>
        <w:sz w:val="20"/>
        <w:u w:val="single"/>
      </w:rPr>
      <w:t>Explanation of Categories</w:t>
    </w:r>
    <w:r>
      <w:rPr>
        <w:rFonts w:cs="Arial" w:ascii="Arial" w:hAnsi="Arial"/>
        <w:sz w:val="20"/>
      </w:rPr>
      <w:t>:</w:t>
      <w:tab/>
      <w:t>1 = comment proposes clarification or other minor change</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 xml:space="preserve">   </w:t>
      <w:tab/>
      <w:t>(not expected to require significant discussion)</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2 =</w:t>
      <w:tab/>
      <w:t>comment proposes substantive changes or is not specific</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ab/>
      <w:t>with respect to what changes are needed; will require discussion</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3 =</w:t>
      <w:tab/>
      <w:t>comment raises issues that the subgroup may not be able to</w:t>
    </w:r>
  </w:p>
  <w:p>
    <w:pPr>
      <w:pStyle w:val="Footer"/>
      <w:tabs>
        <w:tab w:val="left" w:pos="3060" w:leader="none"/>
        <w:tab w:val="center" w:pos="4320" w:leader="none"/>
        <w:tab w:val="right" w:pos="8640" w:leader="none"/>
      </w:tabs>
      <w:ind w:hanging="2700" w:start="2700" w:end="0"/>
      <w:rPr>
        <w:rFonts w:ascii="Arial" w:hAnsi="Arial" w:cs="Arial"/>
        <w:sz w:val="20"/>
      </w:rPr>
    </w:pPr>
    <w:r>
      <w:rPr>
        <w:rFonts w:cs="Arial" w:ascii="Arial" w:hAnsi="Arial"/>
        <w:sz w:val="20"/>
      </w:rPr>
      <w:tab/>
      <w:tab/>
      <w:t xml:space="preserve">resolve through internal discussions because resolution may require </w:t>
    </w:r>
  </w:p>
  <w:p>
    <w:pPr>
      <w:pStyle w:val="Footer"/>
      <w:tabs>
        <w:tab w:val="left" w:pos="3060" w:leader="none"/>
        <w:tab w:val="center" w:pos="4320" w:leader="none"/>
        <w:tab w:val="right" w:pos="8640" w:leader="none"/>
      </w:tabs>
      <w:ind w:hanging="2700" w:start="2700" w:end="0"/>
      <w:rPr>
        <w:rFonts w:ascii="Arial" w:hAnsi="Arial" w:cs="Arial"/>
        <w:sz w:val="22"/>
      </w:rPr>
    </w:pPr>
    <w:r>
      <w:rPr>
        <w:rFonts w:cs="Arial" w:ascii="Arial" w:hAnsi="Arial"/>
        <w:sz w:val="20"/>
      </w:rPr>
      <w:tab/>
      <w:tab/>
      <w:t>policy guidance or input from other work groups</w:t>
    </w:r>
  </w:p>
  <w:p>
    <w:pPr>
      <w:pStyle w:val="Footer"/>
      <w:rPr>
        <w:rFonts w:ascii="Arial" w:hAnsi="Arial" w:cs="Arial"/>
        <w:sz w:val="22"/>
      </w:rPr>
    </w:pPr>
    <w:r>
      <w:rPr>
        <w:rFonts w:cs="Arial" w:ascii="Arial" w:hAnsi="Arial"/>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20"/>
      </w:rPr>
    </w:pPr>
    <w:r>
      <w:rPr>
        <w:rFonts w:cs="Arial" w:ascii="Arial" w:hAnsi="Arial"/>
        <w:sz w:val="20"/>
      </w:rPr>
      <w:t>LIA Comments 7/7/2000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720"/>
      </w:pPr>
      <w:rPr>
        <w:rFonts w:ascii="Symbol" w:hAnsi="Symbol" w:cs="Symbol" w:hint="default"/>
      </w:r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20"/>
      <w:numFmt w:val="decimal"/>
      <w:lvlText w:val="%1."/>
      <w:lvlJc w:val="start"/>
      <w:pPr>
        <w:tabs>
          <w:tab w:val="num" w:pos="360"/>
        </w:tabs>
        <w:ind w:start="360" w:hanging="360"/>
      </w:pPr>
      <w:rPr/>
    </w:lvl>
  </w:abstractNum>
  <w:abstractNum w:abstractNumId="4">
    <w:lvl w:ilvl="0">
      <w:start w:val="2"/>
      <w:numFmt w:val="decimal"/>
      <w:lvlText w:val="%1."/>
      <w:lvlJc w:val="start"/>
      <w:pPr>
        <w:tabs>
          <w:tab w:val="num" w:pos="360"/>
        </w:tabs>
        <w:ind w:start="360" w:hanging="360"/>
      </w:pPr>
      <w:rPr/>
    </w:lvl>
    <w:lvl w:ilvl="1">
      <w:start w:val="2"/>
      <w:isLgl/>
      <w:numFmt w:val="decimal"/>
      <w:lvlText w:val="%1.%2"/>
      <w:lvlJc w:val="start"/>
      <w:pPr>
        <w:tabs>
          <w:tab w:val="num" w:pos="750"/>
        </w:tabs>
        <w:ind w:start="750" w:hanging="390"/>
      </w:pPr>
      <w:rPr/>
    </w:lvl>
    <w:lvl w:ilvl="2">
      <w:start w:val="1"/>
      <w:isLgl/>
      <w:numFmt w:val="decimal"/>
      <w:lvlText w:val="%1.%2.%3"/>
      <w:lvlJc w:val="start"/>
      <w:pPr>
        <w:tabs>
          <w:tab w:val="num" w:pos="1440"/>
        </w:tabs>
        <w:ind w:start="1440" w:hanging="720"/>
      </w:pPr>
      <w:rPr/>
    </w:lvl>
    <w:lvl w:ilvl="3">
      <w:start w:val="1"/>
      <w:isLgl/>
      <w:numFmt w:val="decimal"/>
      <w:lvlText w:val="%1.%2.%3.%4"/>
      <w:lvlJc w:val="start"/>
      <w:pPr>
        <w:tabs>
          <w:tab w:val="num" w:pos="2160"/>
        </w:tabs>
        <w:ind w:start="2160" w:hanging="1080"/>
      </w:pPr>
      <w:rPr/>
    </w:lvl>
    <w:lvl w:ilvl="4">
      <w:start w:val="1"/>
      <w:isLgl/>
      <w:numFmt w:val="decimal"/>
      <w:lvlText w:val="%1.%2.%3.%4.%5"/>
      <w:lvlJc w:val="start"/>
      <w:pPr>
        <w:tabs>
          <w:tab w:val="num" w:pos="2520"/>
        </w:tabs>
        <w:ind w:start="2520" w:hanging="1080"/>
      </w:pPr>
      <w:rPr/>
    </w:lvl>
    <w:lvl w:ilvl="5">
      <w:start w:val="1"/>
      <w:isLgl/>
      <w:numFmt w:val="decimal"/>
      <w:lvlText w:val="%1.%2.%3.%4.%5.%6"/>
      <w:lvlJc w:val="start"/>
      <w:pPr>
        <w:tabs>
          <w:tab w:val="num" w:pos="3240"/>
        </w:tabs>
        <w:ind w:start="3240" w:hanging="1440"/>
      </w:pPr>
      <w:rPr/>
    </w:lvl>
    <w:lvl w:ilvl="6">
      <w:start w:val="1"/>
      <w:isLgl/>
      <w:numFmt w:val="decimal"/>
      <w:lvlText w:val="%1.%2.%3.%4.%5.%6.%7"/>
      <w:lvlJc w:val="start"/>
      <w:pPr>
        <w:tabs>
          <w:tab w:val="num" w:pos="3600"/>
        </w:tabs>
        <w:ind w:start="3600" w:hanging="1440"/>
      </w:pPr>
      <w:rPr/>
    </w:lvl>
    <w:lvl w:ilvl="7">
      <w:start w:val="1"/>
      <w:isLgl/>
      <w:numFmt w:val="decimal"/>
      <w:lvlText w:val="%1.%2.%3.%4.%5.%6.%7.%8"/>
      <w:lvlJc w:val="start"/>
      <w:pPr>
        <w:tabs>
          <w:tab w:val="num" w:pos="4320"/>
        </w:tabs>
        <w:ind w:start="4320" w:hanging="1800"/>
      </w:pPr>
      <w:rPr/>
    </w:lvl>
    <w:lvl w:ilvl="8">
      <w:start w:val="1"/>
      <w:isLgl/>
      <w:numFmt w:val="decimal"/>
      <w:lvlText w:val="%1.%2.%3.%4.%5.%6.%7.%8.%9"/>
      <w:lvlJc w:val="start"/>
      <w:pPr>
        <w:tabs>
          <w:tab w:val="num" w:pos="4680"/>
        </w:tabs>
        <w:ind w:start="4680" w:hanging="1800"/>
      </w:pPr>
      <w:rPr/>
    </w:lvl>
  </w:abstractNum>
  <w:abstractNum w:abstractNumId="5">
    <w:lvl w:ilvl="0">
      <w:start w:val="6"/>
      <w:numFmt w:val="decimal"/>
      <w:lvlText w:val="%1."/>
      <w:lvlJc w:val="start"/>
      <w:pPr>
        <w:tabs>
          <w:tab w:val="num" w:pos="360"/>
        </w:tabs>
        <w:ind w:start="360" w:hanging="360"/>
      </w:pPr>
      <w:r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abstractNum w:abstractNumId="7">
    <w:lvl w:ilvl="0">
      <w:start w:val="1"/>
      <w:numFmt w:val="bullet"/>
      <w:lvlText w:val=""/>
      <w:lvlJc w:val="start"/>
      <w:pPr>
        <w:tabs>
          <w:tab w:val="num" w:pos="720"/>
        </w:tabs>
        <w:ind w:start="720" w:hanging="720"/>
      </w:pPr>
      <w:rPr>
        <w:rFonts w:ascii="Symbol" w:hAnsi="Symbol" w:cs="Symbol" w:hint="default"/>
      </w:rPr>
    </w:lvl>
  </w:abstractNum>
  <w:abstractNum w:abstractNumId="8">
    <w:lvl w:ilvl="0">
      <w:start w:val="1"/>
      <w:numFmt w:val="bullet"/>
      <w:lvlText w:val=""/>
      <w:lvlJc w:val="start"/>
      <w:pPr>
        <w:tabs>
          <w:tab w:val="num" w:pos="720"/>
        </w:tabs>
        <w:ind w:start="720" w:hanging="720"/>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abstractNum w:abstractNumId="12">
    <w:lvl w:ilvl="0">
      <w:start w:val="9"/>
      <w:numFmt w:val="decimal"/>
      <w:lvlText w:val="%1."/>
      <w:lvlJc w:val="start"/>
      <w:pPr>
        <w:tabs>
          <w:tab w:val="num" w:pos="360"/>
        </w:tabs>
        <w:ind w:start="360" w:hanging="360"/>
      </w:pPr>
      <w:rPr/>
    </w:lvl>
  </w:abstractNum>
  <w:abstractNum w:abstractNumId="13">
    <w:lvl w:ilvl="0">
      <w:start w:val="14"/>
      <w:numFmt w:val="decimal"/>
      <w:lvlText w:val="%1."/>
      <w:lvlJc w:val="start"/>
      <w:pPr>
        <w:tabs>
          <w:tab w:val="num" w:pos="360"/>
        </w:tabs>
        <w:ind w:start="360" w:hanging="360"/>
      </w:pPr>
      <w:rPr>
        <w:rFonts w:ascii="Arial" w:hAnsi="Arial" w:cs="Arial"/>
      </w:rPr>
    </w:lvl>
  </w:abstractNum>
  <w:abstractNum w:abstractNumId="14">
    <w:lvl w:ilvl="0">
      <w:start w:val="1"/>
      <w:numFmt w:val="bullet"/>
      <w:lvlText w:val=""/>
      <w:lvlJc w:val="start"/>
      <w:pPr>
        <w:tabs>
          <w:tab w:val="num" w:pos="720"/>
        </w:tabs>
        <w:ind w:start="720" w:hanging="720"/>
      </w:pPr>
      <w:rPr>
        <w:rFonts w:ascii="Symbol" w:hAnsi="Symbol" w:cs="Symbol" w:hint="default"/>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720"/>
        </w:tabs>
        <w:ind w:start="720" w:hanging="720"/>
      </w:pPr>
      <w:rPr>
        <w:rFonts w:ascii="Symbol" w:hAnsi="Symbol" w:cs="Symbol" w:hint="default"/>
      </w:rPr>
    </w:lvl>
  </w:abstractNum>
  <w:abstractNum w:abstractNumId="17">
    <w:lvl w:ilvl="0">
      <w:start w:val="1"/>
      <w:numFmt w:val="bullet"/>
      <w:lvlText w:val=""/>
      <w:lvlJc w:val="start"/>
      <w:pPr>
        <w:tabs>
          <w:tab w:val="num" w:pos="720"/>
        </w:tabs>
        <w:ind w:start="720" w:hanging="720"/>
      </w:pPr>
      <w:rPr>
        <w:rFonts w:ascii="Symbol" w:hAnsi="Symbol" w:cs="Symbol" w:hint="default"/>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bullet"/>
      <w:lvlText w:val=""/>
      <w:lvlJc w:val="start"/>
      <w:pPr>
        <w:tabs>
          <w:tab w:val="num" w:pos="720"/>
        </w:tabs>
        <w:ind w:start="720" w:hanging="720"/>
      </w:pPr>
      <w:rPr>
        <w:rFonts w:ascii="Symbol" w:hAnsi="Symbol" w:cs="Symbol" w:hint="default"/>
      </w:rPr>
    </w:lvl>
  </w:abstractNum>
  <w:abstractNum w:abstractNumId="20">
    <w:lvl w:ilvl="0">
      <w:start w:val="1"/>
      <w:numFmt w:val="bullet"/>
      <w:lvlText w:val=""/>
      <w:lvlJc w:val="start"/>
      <w:pPr>
        <w:tabs>
          <w:tab w:val="num" w:pos="720"/>
        </w:tabs>
        <w:ind w:start="720" w:hanging="720"/>
      </w:pPr>
      <w:rPr>
        <w:rFonts w:ascii="Symbol" w:hAnsi="Symbol" w:cs="Symbol" w:hint="default"/>
      </w:rPr>
    </w:lvl>
  </w:abstractNum>
  <w:abstractNum w:abstractNumId="21">
    <w:lvl w:ilvl="0">
      <w:start w:val="1"/>
      <w:numFmt w:val="bullet"/>
      <w:lvlText w:val=""/>
      <w:lvlJc w:val="start"/>
      <w:pPr>
        <w:tabs>
          <w:tab w:val="num" w:pos="720"/>
        </w:tabs>
        <w:ind w:start="720" w:hanging="720"/>
      </w:pPr>
      <w:rPr>
        <w:rFonts w:ascii="Symbol" w:hAnsi="Symbol" w:cs="Symbol" w:hint="default"/>
      </w:rPr>
    </w:lvl>
  </w:abstractNum>
  <w:abstractNum w:abstractNumId="22">
    <w:lvl w:ilvl="0">
      <w:start w:val="1"/>
      <w:numFmt w:val="bullet"/>
      <w:lvlText w:val=""/>
      <w:lvlJc w:val="start"/>
      <w:pPr>
        <w:tabs>
          <w:tab w:val="num" w:pos="720"/>
        </w:tabs>
        <w:ind w:start="720" w:hanging="720"/>
      </w:pPr>
      <w:rPr>
        <w:rFonts w:ascii="Symbol" w:hAnsi="Symbol" w:cs="Symbol" w:hint="default"/>
      </w:rPr>
    </w:lvl>
  </w:abstractNum>
  <w:abstractNum w:abstractNumId="2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 Old Style" w:hAnsi="Bookman Old Style" w:eastAsia="Times New Roman" w:cs="Bookman Old Style"/>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color w:val="000000"/>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20z0">
    <w:name w:val="WW8Num20z0"/>
    <w:qFormat/>
    <w:rPr/>
  </w:style>
  <w:style w:type="character" w:styleId="WW8Num21z0">
    <w:name w:val="WW8Num21z0"/>
    <w:qFormat/>
    <w:rPr>
      <w:rFonts w:ascii="Symbol" w:hAnsi="Symbol" w:cs="Symbol"/>
      <w:color w:val="000000"/>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Arial" w:hAnsi="Arial" w:cs="Aria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color w:val="000000"/>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4z3">
    <w:name w:val="WW8Num54z3"/>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color w:val="000000"/>
    </w:rPr>
  </w:style>
  <w:style w:type="character" w:styleId="WW8Num67z1">
    <w:name w:val="WW8Num67z1"/>
    <w:qFormat/>
    <w:rPr>
      <w:rFonts w:ascii="Courier New" w:hAnsi="Courier New" w:cs="Courier New"/>
    </w:rPr>
  </w:style>
  <w:style w:type="character" w:styleId="WW8Num67z2">
    <w:name w:val="WW8Num67z2"/>
    <w:qFormat/>
    <w:rPr>
      <w:rFonts w:ascii="Wingdings" w:hAnsi="Wingdings" w:cs="Wingdings"/>
    </w:rPr>
  </w:style>
  <w:style w:type="character" w:styleId="WW8Num67z3">
    <w:name w:val="WW8Num67z3"/>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color w:val="000000"/>
    </w:rPr>
  </w:style>
  <w:style w:type="character" w:styleId="WW8Num91z1">
    <w:name w:val="WW8Num91z1"/>
    <w:qFormat/>
    <w:rPr>
      <w:rFonts w:ascii="Courier New" w:hAnsi="Courier New" w:cs="Courier New"/>
    </w:rPr>
  </w:style>
  <w:style w:type="character" w:styleId="WW8Num91z2">
    <w:name w:val="WW8Num91z2"/>
    <w:qFormat/>
    <w:rPr>
      <w:rFonts w:ascii="Wingdings" w:hAnsi="Wingdings" w:cs="Wingdings"/>
    </w:rPr>
  </w:style>
  <w:style w:type="character" w:styleId="WW8Num91z3">
    <w:name w:val="WW8Num91z3"/>
    <w:qFormat/>
    <w:rPr>
      <w:rFonts w:ascii="Symbol" w:hAnsi="Symbol" w:cs="Symbol"/>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hd w:fill="F2F2F2" w:val="clear"/>
      <w:tabs>
        <w:tab w:val="clear" w:pos="720"/>
        <w:tab w:val="left" w:pos="540" w:leader="none"/>
        <w:tab w:val="left" w:pos="1080" w:leader="none"/>
        <w:tab w:val="left" w:pos="1620" w:leader="none"/>
        <w:tab w:val="left" w:pos="2160" w:leader="none"/>
        <w:tab w:val="left" w:pos="25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overflowPunct w:val="false"/>
      <w:autoSpaceDE w:val="false"/>
      <w:jc w:val="both"/>
      <w:textAlignment w:val="baseline"/>
    </w:pPr>
    <w:rPr>
      <w:rFonts w:ascii="CG Times;Times New Roman" w:hAnsi="CG Times;Times New Roman" w:cs="CG Times;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2000-07-07T22:05:00Z</dcterms:created>
  <dc:creator>Sarah Dennison-Leonard</dc:creator>
  <dc:description/>
  <dc:language>en-CA</dc:language>
  <cp:lastModifiedBy>Sarah Dennison-Leonard</cp:lastModifiedBy>
  <cp:lastPrinted>2000-07-07T18:32:00Z</cp:lastPrinted>
  <dcterms:modified xsi:type="dcterms:W3CDTF">2000-07-07T23:21:00Z</dcterms:modified>
  <cp:revision>41</cp:revision>
  <dc:subject/>
  <dc:title>Matrix of Comments Submitted as of July 7, 2000 Concerning</dc:title>
</cp:coreProperties>
</file>