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wmf" ContentType="image/x-wmf"/>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0"/>
        </w:rPr>
      </w:pPr>
      <w:r>
        <w:rPr>
          <w:sz w:val="20"/>
        </w:rPr>
        <w:drawing>
          <wp:inline distT="0" distB="0" distL="0" distR="0">
            <wp:extent cx="92710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7100" cy="914400"/>
                    </a:xfrm>
                    <a:prstGeom prst="rect">
                      <a:avLst/>
                    </a:prstGeom>
                    <a:noFill/>
                  </pic:spPr>
                </pic:pic>
              </a:graphicData>
            </a:graphic>
          </wp:inline>
        </w:drawing>
      </w:r>
    </w:p>
    <w:p>
      <w:pPr>
        <w:pStyle w:val="Normal"/>
        <w:suppressAutoHyphens w:val="true"/>
        <w:jc w:val="both"/>
        <w:rPr>
          <w:rFonts w:ascii="Univers Bold;Albertus Extra Bold" w:hAnsi="Univers Bold;Albertus Extra Bold" w:cs="Univers Bold;Albertus Extra Bold"/>
          <w:b/>
          <w:spacing w:val="-3"/>
          <w:sz w:val="28"/>
        </w:rPr>
      </w:pPr>
      <w:r>
        <w:rPr/>
        <w:tab/>
      </w:r>
      <w:bookmarkStart w:id="0" w:name="StartOfMemo"/>
      <w:bookmarkEnd w:id="0"/>
      <w:r>
        <w:rPr/>
        <w:tab/>
        <w:tab/>
        <w:tab/>
        <w:tab/>
        <w:tab/>
        <w:tab/>
        <w:tab/>
        <w:tab/>
        <w:tab/>
        <w:tab/>
      </w:r>
    </w:p>
    <w:p>
      <w:pPr>
        <w:pStyle w:val="Normal"/>
        <w:suppressAutoHyphens w:val="true"/>
        <w:jc w:val="both"/>
        <w:rPr/>
      </w:pPr>
      <w:r>
        <w:rPr>
          <w:rFonts w:eastAsia="Univers Bold;Albertus Extra Bold" w:cs="Univers Bold;Albertus Extra Bold" w:ascii="Univers Bold;Albertus Extra Bold" w:hAnsi="Univers Bold;Albertus Extra Bold"/>
          <w:b/>
          <w:spacing w:val="-2"/>
          <w:sz w:val="20"/>
        </w:rPr>
        <w:t xml:space="preserve">       </w:t>
      </w:r>
      <w:r>
        <w:rPr>
          <w:rFonts w:cs="Univers Bold;Albertus Extra Bold" w:ascii="Univers Bold;Albertus Extra Bold" w:hAnsi="Univers Bold;Albertus Extra Bold"/>
          <w:b/>
          <w:spacing w:val="-2"/>
          <w:sz w:val="20"/>
        </w:rPr>
        <w:t>To:</w:t>
        <w:tab/>
      </w:r>
      <w:r>
        <w:rPr>
          <w:spacing w:val="-3"/>
        </w:rPr>
        <w:t>Steve Horn</w:t>
      </w:r>
    </w:p>
    <w:p>
      <w:pPr>
        <w:pStyle w:val="Normal"/>
        <w:suppressAutoHyphens w:val="true"/>
        <w:jc w:val="both"/>
        <w:rPr>
          <w:spacing w:val="-3"/>
        </w:rPr>
      </w:pPr>
      <w:r>
        <w:rPr>
          <w:spacing w:val="-3"/>
        </w:rPr>
      </w:r>
    </w:p>
    <w:p>
      <w:pPr>
        <w:pStyle w:val="Normal"/>
        <w:suppressAutoHyphens w:val="true"/>
        <w:jc w:val="both"/>
        <w:rPr/>
      </w:pPr>
      <w:r>
        <w:rPr>
          <w:rFonts w:eastAsia="Univers Bold;Albertus Extra Bold" w:cs="Univers Bold;Albertus Extra Bold" w:ascii="Univers Bold;Albertus Extra Bold" w:hAnsi="Univers Bold;Albertus Extra Bold"/>
          <w:b/>
          <w:spacing w:val="-2"/>
          <w:sz w:val="20"/>
        </w:rPr>
        <w:t xml:space="preserve">    </w:t>
      </w:r>
      <w:r>
        <w:rPr>
          <w:rFonts w:cs="Univers Bold;Albertus Extra Bold" w:ascii="Univers Bold;Albertus Extra Bold" w:hAnsi="Univers Bold;Albertus Extra Bold"/>
          <w:b/>
          <w:spacing w:val="-2"/>
          <w:sz w:val="20"/>
        </w:rPr>
        <w:t>From:</w:t>
      </w:r>
      <w:r>
        <w:rPr>
          <w:spacing w:val="-3"/>
        </w:rPr>
        <w:tab/>
        <w:t>Larry Izzo</w:t>
        <w:tab/>
        <w:tab/>
        <w:tab/>
        <w:tab/>
      </w:r>
      <w:r>
        <w:rPr/>
        <w:tab/>
      </w:r>
      <w:r>
        <w:rPr>
          <w:rFonts w:cs="Univers Bold;Albertus Extra Bold" w:ascii="Univers Bold;Albertus Extra Bold" w:hAnsi="Univers Bold;Albertus Extra Bold"/>
          <w:b/>
          <w:spacing w:val="-2"/>
          <w:sz w:val="20"/>
        </w:rPr>
        <w:tab/>
        <w:tab/>
        <w:t>Department:</w:t>
      </w:r>
      <w:r>
        <w:rPr>
          <w:spacing w:val="-3"/>
        </w:rPr>
        <w:tab/>
        <w:t>Executive</w:t>
      </w:r>
    </w:p>
    <w:p>
      <w:pPr>
        <w:pStyle w:val="Normal"/>
        <w:suppressAutoHyphens w:val="true"/>
        <w:jc w:val="both"/>
        <w:rPr>
          <w:spacing w:val="-3"/>
        </w:rPr>
      </w:pPr>
      <w:r>
        <w:rPr>
          <w:spacing w:val="-3"/>
        </w:rPr>
        <w:tab/>
        <w:tab/>
        <w:tab/>
        <w:tab/>
        <w:tab/>
        <w:tab/>
        <w:tab/>
        <w:tab/>
        <w:tab/>
        <w:tab/>
        <w:tab/>
      </w:r>
    </w:p>
    <w:p>
      <w:pPr>
        <w:pStyle w:val="Normal"/>
        <w:pBdr>
          <w:bottom w:val="single" w:sz="6" w:space="1" w:color="000000"/>
        </w:pBdr>
        <w:suppressAutoHyphens w:val="true"/>
        <w:jc w:val="both"/>
        <w:rPr/>
      </w:pPr>
      <w:r>
        <w:rPr>
          <w:rFonts w:eastAsia="Univers Bold;Albertus Extra Bold" w:cs="Univers Bold;Albertus Extra Bold" w:ascii="Univers Bold;Albertus Extra Bold" w:hAnsi="Univers Bold;Albertus Extra Bold"/>
          <w:b/>
          <w:spacing w:val="-2"/>
          <w:sz w:val="20"/>
        </w:rPr>
        <w:t xml:space="preserve">  </w:t>
      </w:r>
      <w:r>
        <w:rPr>
          <w:rFonts w:cs="Univers Bold;Albertus Extra Bold" w:ascii="Univers Bold;Albertus Extra Bold" w:hAnsi="Univers Bold;Albertus Extra Bold"/>
          <w:b/>
          <w:spacing w:val="-2"/>
          <w:sz w:val="20"/>
        </w:rPr>
        <w:t>Subject:</w:t>
      </w:r>
      <w:r>
        <w:rPr>
          <w:b/>
          <w:spacing w:val="-3"/>
        </w:rPr>
        <w:tab/>
      </w:r>
      <w:r>
        <w:rPr>
          <w:spacing w:val="-3"/>
        </w:rPr>
        <w:t>InfrastructureWorld.com</w:t>
      </w:r>
      <w:r>
        <w:rPr>
          <w:b/>
          <w:spacing w:val="-3"/>
        </w:rPr>
        <w:tab/>
        <w:tab/>
      </w:r>
      <w:r>
        <w:rPr>
          <w:rFonts w:cs="Univers Bold;Albertus Extra Bold" w:ascii="Univers Bold;Albertus Extra Bold" w:hAnsi="Univers Bold;Albertus Extra Bold"/>
          <w:b/>
          <w:spacing w:val="-2"/>
          <w:sz w:val="20"/>
        </w:rPr>
        <w:tab/>
        <w:tab/>
        <w:tab/>
        <w:t>Date:</w:t>
      </w:r>
      <w:r>
        <w:rPr>
          <w:spacing w:val="-3"/>
        </w:rPr>
        <w:tab/>
        <w:t>5/31/00</w:t>
      </w:r>
    </w:p>
    <w:p>
      <w:pPr>
        <w:pStyle w:val="Normal"/>
        <w:rPr>
          <w:spacing w:val="-3"/>
        </w:rPr>
      </w:pPr>
      <w:r>
        <w:rPr>
          <w:spacing w:val="-3"/>
        </w:rPr>
      </w:r>
    </w:p>
    <w:p>
      <w:pPr>
        <w:pStyle w:val="Body"/>
        <w:rPr/>
      </w:pPr>
      <w:r>
        <w:rPr/>
      </w:r>
    </w:p>
    <w:p>
      <w:pPr>
        <w:pStyle w:val="Department"/>
        <w:rPr/>
      </w:pPr>
      <w:r>
        <w:rPr/>
        <w:t>I recommend we revisit the investment opportunity for IW.  Let me provide the following update and facts to consider.</w:t>
      </w:r>
    </w:p>
    <w:p>
      <w:pPr>
        <w:pStyle w:val="Department"/>
        <w:rPr/>
      </w:pPr>
      <w:r>
        <w:rPr/>
      </w:r>
    </w:p>
    <w:p>
      <w:pPr>
        <w:pStyle w:val="Department"/>
        <w:numPr>
          <w:ilvl w:val="0"/>
          <w:numId w:val="3"/>
        </w:numPr>
        <w:rPr/>
      </w:pPr>
      <w:r>
        <w:rPr/>
        <w:t>IW has briefed the World Bank and may soon reopen a Series A investment to IFC for up to $1 to 2MM investment.  Cordell Hull has assessed this probability at about 95%.</w:t>
      </w:r>
    </w:p>
    <w:p>
      <w:pPr>
        <w:pStyle w:val="Department"/>
        <w:numPr>
          <w:ilvl w:val="0"/>
          <w:numId w:val="3"/>
        </w:numPr>
        <w:rPr/>
      </w:pPr>
      <w:r>
        <w:rPr/>
        <w:t>They are exploring a next round of investment at about 1. 5X Bechtel price and have active discussions with Mitsubishi and Deutsche Bank.</w:t>
      </w:r>
    </w:p>
    <w:p>
      <w:pPr>
        <w:pStyle w:val="Department"/>
        <w:numPr>
          <w:ilvl w:val="0"/>
          <w:numId w:val="3"/>
        </w:numPr>
        <w:rPr/>
      </w:pPr>
      <w:r>
        <w:rPr/>
        <w:t>After working with Anderson Consulting, they’ll have a prototype up around July 4</w:t>
      </w:r>
      <w:r>
        <w:rPr>
          <w:vertAlign w:val="superscript"/>
        </w:rPr>
        <w:t>th</w:t>
      </w:r>
      <w:r>
        <w:rPr/>
        <w:t xml:space="preserve"> to run a sample procurement with insurance opportunity.</w:t>
      </w:r>
    </w:p>
    <w:p>
      <w:pPr>
        <w:pStyle w:val="Department"/>
        <w:numPr>
          <w:ilvl w:val="0"/>
          <w:numId w:val="3"/>
        </w:numPr>
        <w:rPr/>
      </w:pPr>
      <w:r>
        <w:rPr/>
        <w:t>They are at the same point that EECC is in trying to develop a comprehensive project management software model.  They are talking to the same companies that we are talking to, like Blue Line and Buzz Saw; but someone is going to have to develop the PM software to go to the next stage.</w:t>
      </w:r>
    </w:p>
    <w:p>
      <w:pPr>
        <w:pStyle w:val="Department"/>
        <w:numPr>
          <w:ilvl w:val="0"/>
          <w:numId w:val="3"/>
        </w:numPr>
        <w:rPr/>
      </w:pPr>
      <w:r>
        <w:rPr/>
        <w:t>It could cost EECC about $1 to 2MM to simply develop and implement a comprehensive PM software.</w:t>
      </w:r>
    </w:p>
    <w:p>
      <w:pPr>
        <w:pStyle w:val="Department"/>
        <w:numPr>
          <w:ilvl w:val="0"/>
          <w:numId w:val="3"/>
        </w:numPr>
        <w:rPr/>
      </w:pPr>
      <w:r>
        <w:rPr/>
        <w:t>I think there is a connection with EBS, because IW could create a demand for video streaming with its financing opportunities.  More details to follow.</w:t>
      </w:r>
    </w:p>
    <w:p>
      <w:pPr>
        <w:pStyle w:val="Department"/>
        <w:numPr>
          <w:ilvl w:val="0"/>
          <w:numId w:val="3"/>
        </w:numPr>
        <w:rPr/>
      </w:pPr>
      <w:r>
        <w:rPr/>
        <w:t xml:space="preserve">The $10MM dollar investment from Bechtel is through the Bechtel Enterprises Group.  Although, this is not the Fremont Group (which handles Bechtel family money), the Bechtel Enterprise Group does make venture capital investment decisions; and decided to invest in InfrastrutureWorld.com expecting a successful return; and particularly wanted to keep the opportunity from the Bechtel Engineering Group.  Bechtel Enterprises has made other internet venture capital investments and appears to be doing it well.  </w:t>
      </w:r>
    </w:p>
    <w:p>
      <w:pPr>
        <w:pStyle w:val="Department"/>
        <w:rPr/>
      </w:pPr>
      <w:r>
        <w:rPr/>
      </w:r>
    </w:p>
    <w:p>
      <w:pPr>
        <w:pStyle w:val="Department"/>
        <w:rPr/>
      </w:pPr>
      <w:r>
        <w:rPr/>
        <w:t>As a result of this current dialog Cordell Hull has made two suggestions.</w:t>
      </w:r>
    </w:p>
    <w:p>
      <w:pPr>
        <w:pStyle w:val="Department"/>
        <w:rPr/>
      </w:pPr>
      <w:r>
        <w:rPr/>
      </w:r>
    </w:p>
    <w:p>
      <w:pPr>
        <w:pStyle w:val="Department"/>
        <w:numPr>
          <w:ilvl w:val="0"/>
          <w:numId w:val="2"/>
        </w:numPr>
        <w:rPr/>
      </w:pPr>
      <w:r>
        <w:rPr/>
        <w:t>If we can decide quickly, he would open Series A again for Enron for a $2MM investment at the same pricing level as Bechtel.</w:t>
      </w:r>
    </w:p>
    <w:p>
      <w:pPr>
        <w:pStyle w:val="Department"/>
        <w:numPr>
          <w:ilvl w:val="0"/>
          <w:numId w:val="2"/>
        </w:numPr>
        <w:rPr/>
      </w:pPr>
      <w:r>
        <w:rPr/>
        <w:t>We could explore coming in at the next round, which is eminent after the World Bank decision, but that is at a pricing of about 1.5X what Bechtel paid.</w:t>
      </w:r>
    </w:p>
    <w:p>
      <w:pPr>
        <w:pStyle w:val="Department"/>
        <w:numPr>
          <w:ilvl w:val="0"/>
          <w:numId w:val="2"/>
        </w:numPr>
        <w:rPr/>
      </w:pPr>
      <w:r>
        <w:rPr/>
        <w:t xml:space="preserve">We could sign up as a strategic partner; EECC would collaborate with IW on developing the PM software (as opposed to collaborating with one of the other internet companies); I could pay up to $2MM dollar development costs over the next year, and in return, IW would give Enron an option to convert these dollars to shares at the first round pricing.  </w:t>
      </w:r>
    </w:p>
    <w:p>
      <w:pPr>
        <w:pStyle w:val="Department"/>
        <w:rPr/>
      </w:pPr>
      <w:r>
        <w:rPr/>
      </w:r>
    </w:p>
    <w:p>
      <w:pPr>
        <w:pStyle w:val="Department"/>
        <w:rPr/>
      </w:pPr>
      <w:r>
        <w:rPr/>
        <w:t>I continue to like the prospects of IW developing its model for an eventual IPO and profitable business line; Furthermore, for not much more than I am going to pay for developing a comprehensive PM software, we could enter into a strategic alliance with the opportunity to get first round pricing.  I am excited about this, and I think we need to explore what it takes to make an investment decision.  If you are not comfortable with this investment, I want to collaborate on the PM software initiative.  I’ll call to discuss.</w:t>
      </w:r>
    </w:p>
    <w:p>
      <w:pPr>
        <w:pStyle w:val="Department"/>
        <w:rPr/>
      </w:pPr>
      <w:r>
        <w:rPr/>
      </w:r>
    </w:p>
    <w:p>
      <w:pPr>
        <w:pStyle w:val="Department"/>
        <w:rPr/>
      </w:pPr>
      <w:r>
        <w:rPr/>
        <w:t xml:space="preserve">LI25000 </w:t>
      </w:r>
    </w:p>
    <w:sectPr>
      <w:headerReference w:type="default" r:id="rId3"/>
      <w:headerReference w:type="first" r:id="rId4"/>
      <w:footerReference w:type="default" r:id="rId5"/>
      <w:footerReference w:type="first" r:id="rId6"/>
      <w:type w:val="nextPage"/>
      <w:pgSz w:w="12240" w:h="15840"/>
      <w:pgMar w:left="720" w:right="720" w:gutter="0" w:header="720" w:top="776" w:footer="360" w:bottom="41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Univers Bold">
    <w:altName w:val="Albertus Extra Bold"/>
    <w:charset w:val="00" w:characterSet="windows-1252"/>
    <w:family w:val="swiss"/>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tab/>
    </w:r>
    <w:r>
      <w:rPr/>
      <w:fldChar w:fldCharType="begin"/>
    </w:r>
    <w:r>
      <w:rPr/>
      <w:instrText xml:space="preserve"> DATE \@"M-d-yyyy" </w:instrText>
    </w:r>
    <w:r>
      <w:rPr/>
      <w:fldChar w:fldCharType="separate"/>
    </w:r>
    <w:r>
      <w:rPr/>
      <w:t>9/28/2025</w:t>
    </w:r>
    <w:r>
      <w:rPr/>
      <w:fldChar w:fldCharType="end"/>
    </w:r>
    <w:r>
      <w:rPr/>
      <w:tab/>
      <w:t xml:space="preserve">Page </w:t>
    </w:r>
    <w:r>
      <w:rPr/>
      <w:fldChar w:fldCharType="begin"/>
    </w:r>
    <w:r>
      <w:rPr/>
      <w:instrText xml:space="preserve"> PAGE </w:instrText>
    </w:r>
    <w:r>
      <w:rPr/>
      <w:fldChar w:fldCharType="separate"/>
    </w:r>
    <w:r>
      <w:rPr/>
      <w:t>0</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4850"/>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4850"/>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upperLetter"/>
      <w:lvlText w:val="%1."/>
      <w:lvlJc w:val="start"/>
      <w:pPr>
        <w:tabs>
          <w:tab w:val="num" w:pos="360"/>
        </w:tabs>
        <w:ind w:start="360" w:hanging="360"/>
      </w:pPr>
    </w:lvl>
  </w:abstractNum>
  <w:abstractNum w:abstractNumId="3">
    <w:lvl w:ilvl="0">
      <w:start w:val="1"/>
      <w:numFmt w:val="upperLetter"/>
      <w:lvlText w:val="%1."/>
      <w:lvlJc w:val="start"/>
      <w:pPr>
        <w:tabs>
          <w:tab w:val="num" w:pos="360"/>
        </w:tabs>
        <w:ind w:start="36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102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2000-05-31T14:40:00Z</dcterms:created>
  <dc:creator>mgarza</dc:creator>
  <dc:description/>
  <dc:language>en-CA</dc:language>
  <cp:lastModifiedBy>mgarza</cp:lastModifiedBy>
  <cp:lastPrinted>2000-05-31T18:21:00Z</cp:lastPrinted>
  <dcterms:modified xsi:type="dcterms:W3CDTF">2000-05-31T20:52:00Z</dcterms:modified>
  <cp:revision>6</cp:revision>
  <dc:subject/>
  <dc:title>Eron Capital &amp; Trade Resources Memo</dc:title>
</cp:coreProperties>
</file>