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u w:val="none"/>
        </w:rPr>
      </w:pPr>
      <w:r>
        <w:rPr>
          <w:u w:val="none"/>
        </w:rPr>
        <w:t>LG&amp;E Energy Corp. Questions &amp; Answers</w:t>
      </w:r>
    </w:p>
    <w:p>
      <w:pPr>
        <w:pStyle w:val="Heading"/>
        <w:jc w:val="start"/>
        <w:rPr>
          <w:u w:val="none"/>
        </w:rPr>
      </w:pPr>
      <w:r>
        <w:rPr>
          <w:u w:val="none"/>
        </w:rPr>
        <w:t>October 24, 2000</w:t>
      </w:r>
    </w:p>
    <w:p>
      <w:pPr>
        <w:pStyle w:val="Normal"/>
        <w:rPr>
          <w:rFonts w:ascii="Arial" w:hAnsi="Arial" w:cs="Arial"/>
          <w:b/>
          <w:u w:val="single"/>
          <w:lang w:eastAsia="en-US"/>
        </w:rPr>
      </w:pPr>
      <w:r>
        <w:rPr>
          <w:rFonts w:cs="Arial" w:ascii="Arial" w:hAnsi="Arial"/>
          <w:b/>
          <w:u w:val="single"/>
          <w:lang w:eastAsia="en-US"/>
        </w:rPr>
      </w:r>
    </w:p>
    <w:p>
      <w:pPr>
        <w:pStyle w:val="Normal"/>
        <w:rPr>
          <w:rFonts w:ascii="Arial" w:hAnsi="Arial" w:cs="Arial"/>
          <w:lang w:eastAsia="en-US"/>
        </w:rPr>
      </w:pPr>
      <w:r>
        <w:rPr>
          <w:rFonts w:cs="Arial" w:ascii="Arial" w:hAnsi="Arial"/>
          <w:b/>
          <w:u w:val="single"/>
          <w:lang w:eastAsia="en-US"/>
        </w:rPr>
        <w:t>Gleason</w:t>
      </w:r>
    </w:p>
    <w:p>
      <w:pPr>
        <w:pStyle w:val="Normal"/>
        <w:numPr>
          <w:ilvl w:val="0"/>
          <w:numId w:val="3"/>
        </w:numPr>
        <w:rPr>
          <w:rFonts w:ascii="Arial" w:hAnsi="Arial" w:cs="Arial"/>
          <w:lang w:eastAsia="en-US"/>
        </w:rPr>
      </w:pPr>
      <w:r>
        <w:rPr>
          <w:rFonts w:cs="Arial" w:ascii="Arial" w:hAnsi="Arial"/>
          <w:lang w:eastAsia="en-US"/>
        </w:rPr>
        <w:t>With regards to the Lease Agreement - Sec 6.02  (Payments in Lieu of Taxes), please verify that the property tax abatement is included in this agreement.  The amounts in this document do not seem to agree with the original operating information that was given for property taxes ($92M/Year).</w:t>
      </w:r>
    </w:p>
    <w:p>
      <w:pPr>
        <w:pStyle w:val="Normal"/>
        <w:ind w:start="360" w:end="0"/>
        <w:rPr>
          <w:rFonts w:ascii="Arial" w:hAnsi="Arial" w:cs="Arial"/>
          <w:lang w:eastAsia="en-US"/>
        </w:rPr>
      </w:pPr>
      <w:r>
        <w:rPr>
          <w:rFonts w:cs="Arial" w:ascii="Arial" w:hAnsi="Arial"/>
          <w:lang w:eastAsia="en-US"/>
        </w:rPr>
      </w:r>
    </w:p>
    <w:p>
      <w:pPr>
        <w:pStyle w:val="BodyTextIndent"/>
        <w:spacing w:before="0" w:after="0"/>
        <w:rPr/>
      </w:pPr>
      <w:r>
        <w:rPr/>
        <w:t>Enron will call LG&amp;E to discuss.</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lang w:eastAsia="en-US"/>
        </w:rPr>
        <w:t xml:space="preserve">Please elaborate on the business structure and other measures that have been taken to reduce property taxes?  What reductions (duration and amount) were achieved? </w:t>
      </w:r>
    </w:p>
    <w:p>
      <w:pPr>
        <w:pStyle w:val="Normal"/>
        <w:ind w:start="360" w:end="0"/>
        <w:rPr>
          <w:rFonts w:ascii="Arial" w:hAnsi="Arial" w:cs="Arial"/>
          <w:lang w:eastAsia="en-US"/>
        </w:rPr>
      </w:pPr>
      <w:r>
        <w:rPr>
          <w:rFonts w:cs="Arial" w:ascii="Arial" w:hAnsi="Arial"/>
          <w:lang w:eastAsia="en-US"/>
        </w:rPr>
      </w:r>
    </w:p>
    <w:p>
      <w:pPr>
        <w:pStyle w:val="Normal"/>
        <w:ind w:start="360" w:end="0"/>
        <w:rPr>
          <w:rFonts w:ascii="Arial" w:hAnsi="Arial" w:cs="Arial"/>
          <w:lang w:eastAsia="en-US"/>
        </w:rPr>
      </w:pPr>
      <w:r>
        <w:rPr>
          <w:rFonts w:cs="Arial" w:ascii="Arial" w:hAnsi="Arial"/>
          <w:b/>
          <w:lang w:eastAsia="en-US"/>
        </w:rPr>
        <w:t>Enron will call LG&amp;E to discuss.</w:t>
      </w:r>
    </w:p>
    <w:p>
      <w:pPr>
        <w:pStyle w:val="Normal"/>
        <w:numPr>
          <w:ilvl w:val="0"/>
          <w:numId w:val="3"/>
        </w:numPr>
        <w:spacing w:before="240" w:after="0"/>
        <w:rPr>
          <w:rFonts w:ascii="Arial" w:hAnsi="Arial" w:cs="Arial"/>
          <w:lang w:eastAsia="en-US"/>
        </w:rPr>
      </w:pPr>
      <w:r>
        <w:rPr>
          <w:rFonts w:cs="Arial" w:ascii="Arial" w:hAnsi="Arial"/>
          <w:lang w:eastAsia="en-US"/>
        </w:rPr>
        <w:t xml:space="preserve">How many times has ANR curtailed interruptible transportation in the past 12 months?  (We understand the plant has only been operational since June 2000)  </w:t>
      </w:r>
    </w:p>
    <w:p>
      <w:pPr>
        <w:pStyle w:val="BodyTextIndent"/>
        <w:rPr/>
      </w:pPr>
      <w:r>
        <w:rPr/>
        <w:t>Never since June, and in fact IT transport with delivery at Gleason would not have been restricted last winter either.</w:t>
      </w:r>
    </w:p>
    <w:p>
      <w:pPr>
        <w:pStyle w:val="Normal"/>
        <w:numPr>
          <w:ilvl w:val="0"/>
          <w:numId w:val="3"/>
        </w:numPr>
        <w:spacing w:before="240" w:after="0"/>
        <w:rPr>
          <w:rFonts w:ascii="Arial" w:hAnsi="Arial" w:cs="Arial"/>
          <w:lang w:eastAsia="en-US"/>
        </w:rPr>
      </w:pPr>
      <w:r>
        <w:rPr>
          <w:rFonts w:cs="Arial" w:ascii="Arial" w:hAnsi="Arial"/>
          <w:lang w:eastAsia="en-US"/>
        </w:rPr>
        <w:t xml:space="preserve">Are there any volume commitments tied to the ITS-3 transportation agreement? </w:t>
      </w:r>
    </w:p>
    <w:p>
      <w:pPr>
        <w:pStyle w:val="Normal"/>
        <w:spacing w:before="240" w:after="0"/>
        <w:ind w:firstLine="360" w:end="0"/>
        <w:rPr>
          <w:rFonts w:ascii="Arial" w:hAnsi="Arial" w:cs="Arial"/>
          <w:b/>
          <w:lang w:eastAsia="en-US"/>
        </w:rPr>
      </w:pPr>
      <w:r>
        <w:rPr>
          <w:rFonts w:cs="Arial" w:ascii="Arial" w:hAnsi="Arial"/>
          <w:b/>
          <w:lang w:eastAsia="en-US"/>
        </w:rPr>
        <w:t>None</w:t>
      </w:r>
    </w:p>
    <w:p>
      <w:pPr>
        <w:pStyle w:val="Normal"/>
        <w:numPr>
          <w:ilvl w:val="0"/>
          <w:numId w:val="3"/>
        </w:numPr>
        <w:spacing w:before="240" w:after="0"/>
        <w:rPr>
          <w:rFonts w:ascii="Arial" w:hAnsi="Arial" w:cs="Arial"/>
          <w:lang w:eastAsia="en-US"/>
        </w:rPr>
      </w:pPr>
      <w:r>
        <w:rPr>
          <w:rFonts w:cs="Arial" w:ascii="Arial" w:hAnsi="Arial"/>
          <w:lang w:eastAsia="en-US"/>
        </w:rPr>
        <w:t xml:space="preserve">Does the IPLS Service Agreement completely eliminate any potential penalties on daily or hourly variance tolerances? Has Enron been assessed any balancing charges or penalties? </w:t>
      </w:r>
    </w:p>
    <w:p>
      <w:pPr>
        <w:pStyle w:val="Normal"/>
        <w:spacing w:before="240" w:after="0"/>
        <w:ind w:start="360" w:end="0"/>
        <w:rPr>
          <w:rFonts w:ascii="Arial" w:hAnsi="Arial" w:cs="Arial"/>
          <w:b/>
        </w:rPr>
      </w:pPr>
      <w:r>
        <w:rPr>
          <w:rFonts w:cs="Arial" w:ascii="Arial" w:hAnsi="Arial"/>
          <w:b/>
        </w:rPr>
        <w:t xml:space="preserve">IPLS is used for balancing of overburns/underburns.  Flagrant over/under could result in penalties.  We have been assessed balancing charges (which are calculated daily); however we have not been assessed penalties. </w:t>
      </w:r>
      <w:r>
        <w:rPr>
          <w:rFonts w:cs="Arial" w:ascii="Arial" w:hAnsi="Arial"/>
          <w:b/>
          <w:lang w:eastAsia="en-US"/>
        </w:rPr>
        <w:t>A copy of the terms of IPLS Agreement is on DealBench: Doc # 01.02.06 F.  Based upon ‘integrity of system’ ANR could deem that the IPLS service is unavailable, and if an OFO has been posted, plant would be liable for imbalance penalties.  Since commencement, the IPLS service has never been turned down.</w:t>
      </w:r>
    </w:p>
    <w:p>
      <w:pPr>
        <w:pStyle w:val="Normal"/>
        <w:numPr>
          <w:ilvl w:val="0"/>
          <w:numId w:val="3"/>
        </w:numPr>
        <w:spacing w:before="240" w:after="0"/>
        <w:rPr>
          <w:rFonts w:ascii="Arial" w:hAnsi="Arial" w:cs="Arial"/>
          <w:lang w:eastAsia="en-US"/>
        </w:rPr>
      </w:pPr>
      <w:r>
        <w:rPr>
          <w:rFonts w:cs="Arial" w:ascii="Arial" w:hAnsi="Arial"/>
          <w:lang w:eastAsia="en-US"/>
        </w:rPr>
        <w:t xml:space="preserve">Please provide an example of the IPLS balancing charge and how the $.02 charge is assessed?  </w:t>
      </w:r>
    </w:p>
    <w:p>
      <w:pPr>
        <w:pStyle w:val="BodyTextIndent"/>
        <w:rPr/>
      </w:pPr>
      <w:r>
        <w:rPr/>
        <w:t>Day 1: 10,000 MMBtu nomination to be delivered at plant. Actual burn for day turns out to be 15,000 MMBtu.  ANR will charge us $0.02 per MMBtu on the 5000 they ‘lent’ us.  Day 2: we deliver 20,000 to plant and burn is 10,000.   Now end of day, the balance would be 5000 long and ANR would charge $0.02 per MMBtu for gas we ‘parked’.  Day 3: we deliver 0 and burn is 0, our cumulative balance is still 5000 long, and again ANR would charge $0.02 on end of day balance.  Under IPLS (Interconnect Parking and Lending Service) customer is charged based on ending cumulative daily balance each day there is an imbalance.</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lang w:eastAsia="en-US"/>
        </w:rPr>
        <w:t xml:space="preserve">When the plant has been at full load, what has been the total net output (energy and capacity available for sale) and the corresponding air temperature?  Provide the hours and the days the outputs were achieved.  </w:t>
      </w:r>
    </w:p>
    <w:p>
      <w:pPr>
        <w:pStyle w:val="Normal"/>
        <w:rPr>
          <w:rFonts w:ascii="Arial" w:hAnsi="Arial" w:cs="Arial"/>
          <w:color w:val="0000FF"/>
          <w:lang w:eastAsia="en-US"/>
        </w:rPr>
      </w:pPr>
      <w:r>
        <w:rPr>
          <w:rFonts w:cs="Arial" w:ascii="Arial" w:hAnsi="Arial"/>
          <w:color w:val="0000FF"/>
          <w:lang w:eastAsia="en-US"/>
        </w:rPr>
      </w:r>
    </w:p>
    <w:p>
      <w:pPr>
        <w:pStyle w:val="BodyTextIndent"/>
        <w:spacing w:before="0" w:after="0"/>
        <w:rPr/>
      </w:pPr>
      <w:r>
        <w:rPr/>
        <w:t>The temperature has varied significantly throughout the summer; however, in general, the capacity and energy available has been in line with that predicted from the performance test.  See DealBench Doc # 04.01.03 A-E and 04.01.04 for more information.</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2"/>
        <w:ind w:hanging="0" w:start="0"/>
        <w:rPr/>
      </w:pPr>
      <w:r>
        <w:rPr/>
        <w:t>Wheatland</w:t>
      </w:r>
    </w:p>
    <w:p>
      <w:pPr>
        <w:pStyle w:val="Normal"/>
        <w:numPr>
          <w:ilvl w:val="0"/>
          <w:numId w:val="2"/>
        </w:numPr>
        <w:rPr>
          <w:rFonts w:ascii="Arial" w:hAnsi="Arial" w:cs="Arial"/>
          <w:lang w:eastAsia="en-US"/>
        </w:rPr>
      </w:pPr>
      <w:r>
        <w:rPr>
          <w:rFonts w:cs="Arial" w:ascii="Arial" w:hAnsi="Arial"/>
          <w:lang w:eastAsia="en-US"/>
        </w:rPr>
        <w:t xml:space="preserve">With regards to the Gas Transportation Agreement /Balancing Agreement/Service Agreement with Midwestern Transmission Company, it appears the partnership has contracted with Midwestern as a fuel supply manager for $25M/Year.  Is this amount part of the Fixed O&amp;M charges in the operating information provided for the 1st round bids?  </w:t>
      </w:r>
    </w:p>
    <w:p>
      <w:pPr>
        <w:pStyle w:val="Normal"/>
        <w:ind w:start="360" w:end="0"/>
        <w:rPr>
          <w:rFonts w:ascii="Arial" w:hAnsi="Arial" w:cs="Arial"/>
          <w:color w:val="0000FF"/>
          <w:lang w:eastAsia="en-US"/>
        </w:rPr>
      </w:pPr>
      <w:r>
        <w:rPr>
          <w:rFonts w:cs="Arial" w:ascii="Arial" w:hAnsi="Arial"/>
          <w:color w:val="0000FF"/>
          <w:lang w:eastAsia="en-US"/>
        </w:rPr>
      </w:r>
    </w:p>
    <w:p>
      <w:pPr>
        <w:pStyle w:val="BodyTextIndent"/>
        <w:spacing w:before="0" w:after="0"/>
        <w:rPr/>
      </w:pPr>
      <w:r>
        <w:rPr/>
        <w:t>MTC is the pipeline owner/operator.  The $25M/year is for transportation management and operation/balancing management, not for gas supply.  We will reconfirm the $25M/year in fixed O&amp;M.</w:t>
      </w:r>
    </w:p>
    <w:p>
      <w:pPr>
        <w:pStyle w:val="Normal"/>
        <w:rPr>
          <w:rFonts w:ascii="Arial" w:hAnsi="Arial" w:cs="Arial"/>
          <w:lang w:eastAsia="en-US"/>
        </w:rPr>
      </w:pPr>
      <w:r>
        <w:rPr>
          <w:rFonts w:cs="Arial" w:ascii="Arial" w:hAnsi="Arial"/>
          <w:lang w:eastAsia="en-US"/>
        </w:rPr>
      </w:r>
    </w:p>
    <w:p>
      <w:pPr>
        <w:pStyle w:val="Normal"/>
        <w:numPr>
          <w:ilvl w:val="0"/>
          <w:numId w:val="2"/>
        </w:numPr>
        <w:rPr>
          <w:rFonts w:ascii="Arial" w:hAnsi="Arial" w:cs="Arial"/>
          <w:lang w:eastAsia="en-US"/>
        </w:rPr>
      </w:pPr>
      <w:r>
        <w:rPr>
          <w:rFonts w:cs="Arial" w:ascii="Arial" w:hAnsi="Arial"/>
          <w:lang w:eastAsia="en-US"/>
        </w:rPr>
        <w:t>Please elaborate on the business structure and other measures that have been taken to reduce property taxes?  What reductions (duration and amount) were achieved?  What is the year by year estimated Property Tax liability over the next 20 years?</w:t>
      </w:r>
    </w:p>
    <w:p>
      <w:pPr>
        <w:pStyle w:val="Normal"/>
        <w:rPr>
          <w:rFonts w:ascii="Arial" w:hAnsi="Arial" w:cs="Arial"/>
          <w:lang w:eastAsia="en-US"/>
        </w:rPr>
      </w:pPr>
      <w:r>
        <w:rPr>
          <w:rFonts w:cs="Arial" w:ascii="Arial" w:hAnsi="Arial"/>
          <w:lang w:eastAsia="en-US"/>
        </w:rPr>
      </w:r>
    </w:p>
    <w:p>
      <w:pPr>
        <w:pStyle w:val="Heading3"/>
        <w:rPr/>
      </w:pPr>
      <w:r>
        <w:rPr/>
        <w:t>Enron will discuss with LG&amp;E.  See DealBench Doc # 01.08.02.01 for estimate of annual property taxes.</w:t>
      </w:r>
    </w:p>
    <w:p>
      <w:pPr>
        <w:pStyle w:val="Normal"/>
        <w:numPr>
          <w:ilvl w:val="0"/>
          <w:numId w:val="2"/>
        </w:numPr>
        <w:spacing w:before="240" w:after="0"/>
        <w:rPr>
          <w:rFonts w:ascii="Arial" w:hAnsi="Arial" w:cs="Arial"/>
          <w:lang w:eastAsia="en-US"/>
        </w:rPr>
      </w:pPr>
      <w:r>
        <w:rPr>
          <w:rFonts w:cs="Arial" w:ascii="Arial" w:hAnsi="Arial"/>
          <w:lang w:eastAsia="en-US"/>
        </w:rPr>
        <w:t xml:space="preserve">How many times has MGT curtailed interruptible transportation in the past 12 months? </w:t>
      </w:r>
    </w:p>
    <w:p>
      <w:pPr>
        <w:pStyle w:val="BodyTextIndent"/>
        <w:rPr>
          <w:b w:val="false"/>
        </w:rPr>
      </w:pPr>
      <w:r>
        <w:rPr/>
        <w:t>None</w:t>
      </w:r>
    </w:p>
    <w:p>
      <w:pPr>
        <w:pStyle w:val="Normal"/>
        <w:numPr>
          <w:ilvl w:val="0"/>
          <w:numId w:val="2"/>
        </w:numPr>
        <w:spacing w:before="240" w:after="0"/>
        <w:rPr>
          <w:rFonts w:ascii="Arial" w:hAnsi="Arial" w:cs="Arial"/>
          <w:lang w:eastAsia="en-US"/>
        </w:rPr>
      </w:pPr>
      <w:r>
        <w:rPr>
          <w:rFonts w:cs="Arial" w:ascii="Arial" w:hAnsi="Arial"/>
          <w:lang w:eastAsia="en-US"/>
        </w:rPr>
        <w:t xml:space="preserve">How many times has MGT implemented any daily or hourly variance tolerances? Has Enron been assessed any balancing penalties?  </w:t>
      </w:r>
    </w:p>
    <w:p>
      <w:pPr>
        <w:pStyle w:val="BodyTextIndent"/>
        <w:rPr>
          <w:lang w:eastAsia="en-CA"/>
        </w:rPr>
      </w:pPr>
      <w:r>
        <w:rPr>
          <w:lang w:eastAsia="en-CA"/>
        </w:rPr>
        <w:t>No penalties have been assessed as a result of imbalances. Also, they have asked us to reduce our imbalance at times, but no payments were involved.</w:t>
      </w:r>
    </w:p>
    <w:p>
      <w:pPr>
        <w:pStyle w:val="Normal"/>
        <w:numPr>
          <w:ilvl w:val="0"/>
          <w:numId w:val="2"/>
        </w:numPr>
        <w:spacing w:before="240" w:after="0"/>
        <w:rPr>
          <w:rFonts w:ascii="Arial" w:hAnsi="Arial" w:cs="Arial"/>
          <w:lang w:eastAsia="en-US"/>
        </w:rPr>
      </w:pPr>
      <w:r>
        <w:rPr>
          <w:rFonts w:cs="Arial" w:ascii="Arial" w:hAnsi="Arial"/>
          <w:lang w:eastAsia="en-US"/>
        </w:rPr>
        <w:t xml:space="preserve">How much volume has Enron flowed on the MGT interruptible agreement, capacity release contracts, and any other transportation agreements.  </w:t>
      </w:r>
    </w:p>
    <w:p>
      <w:pPr>
        <w:pStyle w:val="BodyTextIndent2"/>
        <w:ind w:hanging="0" w:start="360" w:end="0"/>
        <w:rPr/>
      </w:pPr>
      <w:r>
        <w:rPr/>
        <w:t xml:space="preserve">From April – Sept ’00 we have delivered approximately 665,000 mmbtu to the plant. </w:t>
      </w:r>
    </w:p>
    <w:p>
      <w:pPr>
        <w:pStyle w:val="Normal"/>
        <w:numPr>
          <w:ilvl w:val="0"/>
          <w:numId w:val="2"/>
        </w:numPr>
        <w:spacing w:before="240" w:after="0"/>
        <w:rPr>
          <w:rFonts w:ascii="Arial" w:hAnsi="Arial" w:cs="Arial"/>
          <w:lang w:eastAsia="en-US"/>
        </w:rPr>
      </w:pPr>
      <w:r>
        <w:rPr>
          <w:rFonts w:cs="Arial" w:ascii="Arial" w:hAnsi="Arial"/>
          <w:lang w:eastAsia="en-US"/>
        </w:rPr>
        <w:t xml:space="preserve">What amount of supply was purchased at the Chicago city gate versus the MGT Portland interconnect?  </w:t>
      </w:r>
    </w:p>
    <w:p>
      <w:pPr>
        <w:pStyle w:val="Normal"/>
        <w:spacing w:before="240" w:after="0"/>
        <w:ind w:firstLine="360" w:end="0"/>
        <w:rPr>
          <w:rFonts w:ascii="Arial" w:hAnsi="Arial" w:cs="Arial"/>
          <w:b/>
          <w:lang w:eastAsia="en-US"/>
        </w:rPr>
      </w:pPr>
      <w:r>
        <w:rPr>
          <w:rFonts w:cs="Arial" w:ascii="Arial" w:hAnsi="Arial"/>
          <w:b/>
          <w:lang w:eastAsia="en-US"/>
        </w:rPr>
        <w:t>20,000 MMBTU</w:t>
      </w:r>
    </w:p>
    <w:p>
      <w:pPr>
        <w:pStyle w:val="Normal"/>
        <w:numPr>
          <w:ilvl w:val="0"/>
          <w:numId w:val="2"/>
        </w:numPr>
        <w:spacing w:before="240" w:after="0"/>
        <w:rPr>
          <w:rFonts w:ascii="Arial" w:hAnsi="Arial" w:cs="Arial"/>
          <w:lang w:eastAsia="en-US"/>
        </w:rPr>
      </w:pPr>
      <w:r>
        <w:rPr>
          <w:rFonts w:cs="Arial" w:ascii="Arial" w:hAnsi="Arial"/>
          <w:lang w:eastAsia="en-US"/>
        </w:rPr>
        <w:t xml:space="preserve">Is the supply purchased on a daily spot basis or other arrangements?  </w:t>
      </w:r>
    </w:p>
    <w:p>
      <w:pPr>
        <w:pStyle w:val="Normal"/>
        <w:spacing w:before="240" w:after="0"/>
        <w:ind w:firstLine="360" w:end="0"/>
        <w:rPr>
          <w:rFonts w:ascii="Arial" w:hAnsi="Arial" w:cs="Arial"/>
          <w:b/>
          <w:lang w:eastAsia="en-US"/>
        </w:rPr>
      </w:pPr>
      <w:r>
        <w:rPr>
          <w:rFonts w:cs="Arial" w:ascii="Arial" w:hAnsi="Arial"/>
          <w:b/>
          <w:lang w:eastAsia="en-US"/>
        </w:rPr>
        <w:t>Spot</w:t>
      </w:r>
    </w:p>
    <w:p>
      <w:pPr>
        <w:pStyle w:val="Normal"/>
        <w:numPr>
          <w:ilvl w:val="0"/>
          <w:numId w:val="2"/>
        </w:numPr>
        <w:spacing w:before="240" w:after="0"/>
        <w:rPr>
          <w:rFonts w:ascii="Arial" w:hAnsi="Arial" w:cs="Arial"/>
          <w:lang w:eastAsia="en-US"/>
        </w:rPr>
      </w:pPr>
      <w:r>
        <w:rPr>
          <w:rFonts w:cs="Arial" w:ascii="Arial" w:hAnsi="Arial"/>
          <w:lang w:eastAsia="en-US"/>
        </w:rPr>
        <w:t>What is the daily delivery quantity of the OBA?  (the volume inserted in the document could not be read)</w:t>
      </w:r>
    </w:p>
    <w:p>
      <w:pPr>
        <w:pStyle w:val="BodyTextIndent"/>
        <w:rPr/>
      </w:pPr>
      <w:r>
        <w:rPr/>
        <w:t xml:space="preserve">The ‘balancing party’ (West Fork) has not elected a daily delivery quantity.  Will need to verify with MGT. </w:t>
      </w:r>
    </w:p>
    <w:p>
      <w:pPr>
        <w:pStyle w:val="Normal"/>
        <w:spacing w:before="240" w:after="0"/>
        <w:ind w:start="360" w:end="0"/>
        <w:rPr>
          <w:rFonts w:ascii="Arial" w:hAnsi="Arial" w:cs="Arial"/>
          <w:lang w:eastAsia="en-US"/>
        </w:rPr>
      </w:pPr>
      <w:r>
        <w:rPr>
          <w:rFonts w:cs="Arial" w:ascii="Arial" w:hAnsi="Arial"/>
          <w:lang w:eastAsia="en-US"/>
        </w:rPr>
      </w:r>
    </w:p>
    <w:p>
      <w:pPr>
        <w:pStyle w:val="Normal"/>
        <w:numPr>
          <w:ilvl w:val="0"/>
          <w:numId w:val="2"/>
        </w:numPr>
        <w:rPr>
          <w:rFonts w:ascii="Arial" w:hAnsi="Arial" w:cs="Arial"/>
          <w:b/>
          <w:lang w:eastAsia="en-US"/>
        </w:rPr>
      </w:pPr>
      <w:r>
        <w:rPr>
          <w:rFonts w:cs="Arial" w:ascii="Arial" w:hAnsi="Arial"/>
          <w:lang w:eastAsia="en-US"/>
        </w:rPr>
        <w:t xml:space="preserve">When the plant has been at full load, what has been the total net output (energy and capacity available for sale) and the corresponding air temperature?  Provide the hours and the days the outputs were achieved.  </w:t>
      </w:r>
    </w:p>
    <w:p>
      <w:pPr>
        <w:pStyle w:val="Normal"/>
        <w:rPr>
          <w:rFonts w:ascii="Arial" w:hAnsi="Arial" w:cs="Arial"/>
          <w:b/>
          <w:lang w:eastAsia="en-US"/>
        </w:rPr>
      </w:pPr>
      <w:r>
        <w:rPr>
          <w:rFonts w:cs="Arial" w:ascii="Arial" w:hAnsi="Arial"/>
          <w:b/>
          <w:lang w:eastAsia="en-US"/>
        </w:rPr>
      </w:r>
    </w:p>
    <w:p>
      <w:pPr>
        <w:pStyle w:val="Normal"/>
        <w:rPr>
          <w:rFonts w:ascii="Arial" w:hAnsi="Arial" w:cs="Arial"/>
          <w:b/>
          <w:lang w:eastAsia="en-US"/>
        </w:rPr>
      </w:pPr>
      <w:r>
        <w:rPr>
          <w:rFonts w:cs="Arial" w:ascii="Arial" w:hAnsi="Arial"/>
          <w:b/>
          <w:lang w:eastAsia="en-US"/>
        </w:rPr>
        <w:t>See answer to question #7 in the Gleason section.</w:t>
      </w:r>
    </w:p>
    <w:p>
      <w:pPr>
        <w:pStyle w:val="Normal"/>
        <w:rPr>
          <w:rFonts w:ascii="Arial" w:hAnsi="Arial" w:cs="Arial"/>
          <w:b/>
          <w:lang w:eastAsia="en-US"/>
        </w:rPr>
      </w:pPr>
      <w:r>
        <w:rPr>
          <w:rFonts w:cs="Arial" w:ascii="Arial" w:hAnsi="Arial"/>
          <w:b/>
          <w:lang w:eastAsia="en-US"/>
        </w:rPr>
      </w:r>
    </w:p>
    <w:p>
      <w:pPr>
        <w:pStyle w:val="Heading2"/>
        <w:ind w:hanging="0" w:start="0"/>
        <w:rPr/>
      </w:pPr>
      <w:r>
        <w:rPr/>
        <w:t>Westinghouse 501F C and/or D Problems</w:t>
      </w:r>
    </w:p>
    <w:p>
      <w:pPr>
        <w:pStyle w:val="Normal"/>
        <w:tabs>
          <w:tab w:val="left" w:pos="720" w:leader="none"/>
        </w:tabs>
        <w:rPr>
          <w:rFonts w:ascii="Arial" w:hAnsi="Arial" w:cs="Arial"/>
          <w:lang w:eastAsia="en-US"/>
        </w:rPr>
      </w:pPr>
      <w:r>
        <w:rPr>
          <w:rFonts w:cs="Arial" w:ascii="Arial" w:hAnsi="Arial"/>
          <w:lang w:eastAsia="en-US"/>
        </w:rPr>
        <w:t xml:space="preserve">Please provide any correspondence to/from Westinghouse or others regarding the following problems: </w:t>
      </w:r>
    </w:p>
    <w:p>
      <w:pPr>
        <w:pStyle w:val="Normal"/>
        <w:tabs>
          <w:tab w:val="left" w:pos="720" w:leader="none"/>
        </w:tabs>
        <w:rPr>
          <w:rFonts w:ascii="Arial" w:hAnsi="Arial" w:cs="Arial"/>
          <w:lang w:eastAsia="en-US"/>
        </w:rPr>
      </w:pPr>
      <w:r>
        <w:rPr>
          <w:rFonts w:cs="Arial" w:ascii="Arial" w:hAnsi="Arial"/>
          <w:lang w:eastAsia="en-US"/>
        </w:rPr>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 xml:space="preserve">Second row rotating blade low cycle fatigue cracking at the base; fix is completed but there is such a short supply of blades due to the sell forward status any affected units will have a long waiting period to accomplish.  Classified as a serious problem for users due to the extended schedule.  </w:t>
      </w:r>
    </w:p>
    <w:p>
      <w:pPr>
        <w:pStyle w:val="BodyTextIndent"/>
        <w:ind w:start="720" w:end="0"/>
        <w:rPr/>
      </w:pPr>
      <w:r>
        <w:rPr/>
        <w:t>Gleason: All applicable inspections have been completed on the Second Row rotating blades, all inspections have shown minor (what Siemens/Westinghouse would consider to be normal) cracking. We are not subject to the full inspections until we achieve @4000 operating hours. All inspections have been completed while other work has been being accomplished to achieve a baseline to observe further wear and fatigue.</w:t>
      </w:r>
    </w:p>
    <w:p>
      <w:pPr>
        <w:pStyle w:val="Normal"/>
        <w:tabs>
          <w:tab w:val="left" w:pos="720" w:leader="none"/>
        </w:tabs>
        <w:rPr>
          <w:rFonts w:ascii="Arial" w:hAnsi="Arial" w:cs="Arial"/>
          <w:lang w:eastAsia="en-US"/>
        </w:rPr>
      </w:pPr>
      <w:r>
        <w:rPr>
          <w:rFonts w:cs="Arial" w:ascii="Arial" w:hAnsi="Arial"/>
          <w:lang w:eastAsia="en-US"/>
        </w:rPr>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 xml:space="preserve">DLN air bypass valve (new design) on the airflow regulator has a flange-cracking problem. This problem is classified as "hazardous" and requires that the unit be reduced to 80% of full load power until the design fix is installed. This has affected the latest of the 501F C and D fleet.  Apparently the valve itself is also malfunctioning.  </w:t>
      </w:r>
    </w:p>
    <w:p>
      <w:pPr>
        <w:pStyle w:val="BodyTextIndent"/>
        <w:ind w:start="720" w:end="0"/>
        <w:rPr/>
      </w:pPr>
      <w:r>
        <w:rPr/>
        <w:t>Gleason is not affected by the DLN Bypass problems, The facility is currently a DF-42 design.</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C stage ring (last stage) fuel feed- support is vibrating and comes loose. The fix calls for combustor change out.  Since it involves fuel, this is also classified as hazardous.</w:t>
      </w:r>
    </w:p>
    <w:p>
      <w:pPr>
        <w:pStyle w:val="BodyTextIndent"/>
        <w:ind w:start="720" w:end="0"/>
        <w:rPr/>
      </w:pPr>
      <w:r>
        <w:rPr/>
        <w:t>This does not affect the Gleason units, This appears to be a dual-fuel problem, these machines being single fuel (natural gas) we are not involved.</w:t>
      </w:r>
    </w:p>
    <w:p>
      <w:pPr>
        <w:pStyle w:val="Normal"/>
        <w:rPr>
          <w:rFonts w:ascii="Arial" w:hAnsi="Arial" w:cs="Arial"/>
          <w:lang w:eastAsia="en-US"/>
        </w:rPr>
      </w:pPr>
      <w:r>
        <w:rPr>
          <w:rFonts w:cs="Arial" w:ascii="Arial" w:hAnsi="Arial"/>
          <w:lang w:eastAsia="en-US"/>
        </w:rPr>
      </w:r>
    </w:p>
    <w:p>
      <w:pPr>
        <w:pStyle w:val="Normal"/>
        <w:numPr>
          <w:ilvl w:val="0"/>
          <w:numId w:val="4"/>
        </w:numPr>
        <w:rPr>
          <w:rFonts w:ascii="Arial" w:hAnsi="Arial" w:cs="Arial"/>
          <w:lang w:eastAsia="en-US"/>
        </w:rPr>
      </w:pPr>
      <w:r>
        <w:rPr>
          <w:rFonts w:cs="Arial" w:ascii="Arial" w:hAnsi="Arial"/>
          <w:lang w:eastAsia="en-US"/>
        </w:rPr>
        <w:t>The low-pressure compressor of the ‘D’ models is supplied with the ‘G’ model’s design.  Westinghouse has been experiencing vibration cracking in the second stage, stationary, blades.</w:t>
      </w:r>
    </w:p>
    <w:p>
      <w:pPr>
        <w:pStyle w:val="Normal"/>
        <w:rPr>
          <w:rFonts w:ascii="Arial" w:hAnsi="Arial" w:cs="Arial"/>
          <w:lang w:eastAsia="en-US"/>
        </w:rPr>
      </w:pPr>
      <w:r>
        <w:rPr>
          <w:rFonts w:cs="Arial" w:ascii="Arial" w:hAnsi="Arial"/>
          <w:lang w:eastAsia="en-US"/>
        </w:rPr>
      </w:r>
    </w:p>
    <w:p>
      <w:pPr>
        <w:pStyle w:val="Normal"/>
        <w:spacing w:lineRule="atLeast" w:line="240"/>
        <w:ind w:firstLine="720" w:end="0"/>
        <w:rPr>
          <w:rFonts w:ascii="Helv" w:hAnsi="Helv" w:cs="Helv"/>
          <w:b/>
          <w:color w:val="000000"/>
          <w:lang w:eastAsia="en-US"/>
        </w:rPr>
      </w:pPr>
      <w:r>
        <w:rPr>
          <w:rFonts w:cs="Helv" w:ascii="Helv" w:hAnsi="Helv"/>
          <w:b/>
          <w:color w:val="000000"/>
          <w:lang w:eastAsia="en-US"/>
        </w:rPr>
        <w:t>No correspondence has been sent or received.</w:t>
      </w:r>
    </w:p>
    <w:p>
      <w:pPr>
        <w:pStyle w:val="Normal"/>
        <w:spacing w:lineRule="atLeast" w:line="240"/>
        <w:ind w:firstLine="720" w:end="0"/>
        <w:rPr>
          <w:rFonts w:ascii="Helv" w:hAnsi="Helv" w:cs="Helv"/>
          <w:b/>
          <w:color w:val="000000"/>
          <w:lang w:eastAsia="en-US"/>
        </w:rPr>
      </w:pPr>
      <w:r>
        <w:rPr>
          <w:rFonts w:cs="Helv" w:ascii="Helv" w:hAnsi="Helv"/>
          <w:b/>
          <w:color w:val="000000"/>
          <w:lang w:eastAsia="en-US"/>
        </w:rPr>
      </w:r>
    </w:p>
    <w:p>
      <w:pPr>
        <w:pStyle w:val="Normal"/>
        <w:spacing w:lineRule="atLeast" w:line="240"/>
        <w:ind w:firstLine="720" w:end="0"/>
        <w:rPr>
          <w:rFonts w:ascii="Helv" w:hAnsi="Helv" w:cs="Helv"/>
          <w:b/>
          <w:color w:val="000000"/>
          <w:lang w:eastAsia="en-US"/>
        </w:rPr>
      </w:pPr>
      <w:r>
        <w:rPr>
          <w:rFonts w:cs="Helv" w:ascii="Helv" w:hAnsi="Helv"/>
          <w:b/>
          <w:color w:val="000000"/>
          <w:lang w:eastAsia="en-US"/>
        </w:rPr>
      </w:r>
    </w:p>
    <w:p>
      <w:pPr>
        <w:pStyle w:val="Normal"/>
        <w:spacing w:lineRule="atLeast" w:line="240"/>
        <w:ind w:firstLine="720" w:end="0"/>
        <w:rPr>
          <w:rFonts w:ascii="Helv" w:hAnsi="Helv" w:cs="Helv"/>
          <w:b/>
          <w:color w:val="000000"/>
          <w:lang w:eastAsia="en-US"/>
        </w:rPr>
      </w:pPr>
      <w:r>
        <w:rPr>
          <w:rFonts w:cs="Helv" w:ascii="Helv" w:hAnsi="Helv"/>
          <w:b/>
          <w:color w:val="000000"/>
          <w:lang w:eastAsia="en-US"/>
        </w:rPr>
      </w:r>
    </w:p>
    <w:p>
      <w:pPr>
        <w:pStyle w:val="Normal"/>
        <w:rPr>
          <w:rFonts w:ascii="Arial" w:hAnsi="Arial" w:cs="Arial"/>
          <w:b/>
          <w:lang w:eastAsia="en-US"/>
        </w:rPr>
      </w:pPr>
      <w:r>
        <w:rPr>
          <w:rFonts w:cs="Arial" w:ascii="Arial" w:hAnsi="Arial"/>
          <w:b/>
          <w:lang w:eastAsia="en-US"/>
        </w:rPr>
        <w:t>THE INFORMATION CONTAINED HEREIN IS BEING PROVIDED TO YOU PURSUANT TO AND SHOULD BE GOVERNED BY THAT CERTAIN CONFIDENTIALITY AGREEMENT ENTERED INTO AS OF SEPTEMBER 2000 BY AND BETWEEN ENRON NORTH AMERICA CORP. AND YOUR COMPANY.</w:t>
      </w:r>
    </w:p>
    <w:p>
      <w:pPr>
        <w:pStyle w:val="Header"/>
        <w:tabs>
          <w:tab w:val="clear" w:pos="4320"/>
          <w:tab w:val="clear" w:pos="8640"/>
        </w:tabs>
        <w:ind w:end="684"/>
        <w:rPr>
          <w:rFonts w:ascii="Arial" w:hAnsi="Arial" w:cs="Arial"/>
          <w:b/>
          <w:sz w:val="20"/>
          <w:lang w:eastAsia="en-US"/>
        </w:rPr>
      </w:pPr>
      <w:r>
        <w:rPr>
          <w:rFonts w:cs="Arial" w:ascii="Arial" w:hAnsi="Arial"/>
          <w:b/>
          <w:sz w:val="20"/>
          <w:lang w:eastAsia="en-US"/>
        </w:rPr>
      </w:r>
    </w:p>
    <w:p>
      <w:pPr>
        <w:pStyle w:val="Normal"/>
        <w:spacing w:lineRule="atLeast" w:line="240"/>
        <w:rPr>
          <w:rFonts w:ascii="Helv" w:hAnsi="Helv" w:cs="Helv"/>
          <w:b/>
          <w:color w:val="000000"/>
          <w:sz w:val="20"/>
          <w:lang w:eastAsia="en-US"/>
        </w:rPr>
      </w:pPr>
      <w:r>
        <w:rPr>
          <w:rFonts w:cs="Helv" w:ascii="Helv" w:hAnsi="Helv"/>
          <w:b/>
          <w:color w:val="000000"/>
          <w:sz w:val="20"/>
          <w:lang w:eastAsia="en-US"/>
        </w:rPr>
      </w:r>
    </w:p>
    <w:p>
      <w:pPr>
        <w:pStyle w:val="Normal"/>
        <w:spacing w:lineRule="atLeast" w:line="240"/>
        <w:ind w:firstLine="720" w:start="360" w:end="0"/>
        <w:rPr>
          <w:rFonts w:ascii="Helv" w:hAnsi="Helv" w:cs="Helv"/>
          <w:b/>
          <w:color w:val="000000"/>
          <w:lang w:eastAsia="en-US"/>
        </w:rPr>
      </w:pPr>
      <w:r>
        <w:rPr>
          <w:rFonts w:cs="Helv" w:ascii="Helv" w:hAnsi="Helv"/>
          <w:b/>
          <w:color w:val="000000"/>
          <w:lang w:eastAsia="en-US"/>
        </w:rPr>
      </w:r>
    </w:p>
    <w:p>
      <w:pPr>
        <w:pStyle w:val="Normal"/>
        <w:spacing w:lineRule="atLeast" w:line="240"/>
        <w:ind w:firstLine="720" w:start="360" w:end="0"/>
        <w:rPr>
          <w:rFonts w:ascii="Helv" w:hAnsi="Helv" w:cs="Helv"/>
          <w:b/>
          <w:color w:val="000000"/>
          <w:lang w:eastAsia="en-US"/>
        </w:rPr>
      </w:pPr>
      <w:r>
        <w:rPr>
          <w:rFonts w:cs="Helv" w:ascii="Helv" w:hAnsi="Helv"/>
          <w:b/>
          <w:color w:val="000000"/>
          <w:lang w:eastAsia="en-US"/>
        </w:rPr>
      </w:r>
    </w:p>
    <w:p>
      <w:pPr>
        <w:pStyle w:val="Normal"/>
        <w:ind w:start="1080" w:end="0"/>
        <w:rPr>
          <w:rFonts w:ascii="Arial" w:hAnsi="Arial" w:cs="Arial"/>
          <w:b/>
          <w:color w:val="000000"/>
          <w:lang w:eastAsia="en-US"/>
        </w:rPr>
      </w:pPr>
      <w:r>
        <w:rPr>
          <w:rFonts w:cs="Arial" w:ascii="Arial" w:hAnsi="Arial"/>
          <w:b/>
          <w:color w:val="000000"/>
          <w:lang w:eastAsia="en-US"/>
        </w:rPr>
      </w:r>
    </w:p>
    <w:p>
      <w:pPr>
        <w:pStyle w:val="Normal"/>
        <w:rPr>
          <w:rFonts w:ascii="Arial" w:hAnsi="Arial" w:cs="Arial"/>
          <w:lang w:eastAsia="en-US"/>
        </w:rPr>
      </w:pPr>
      <w:r>
        <w:rPr>
          <w:rFonts w:cs="Arial" w:ascii="Arial" w:hAnsi="Arial"/>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Arial" w:hAnsi="Arial" w:cs="Arial"/>
      <w:b/>
      <w:u w:val="single"/>
      <w:lang w:eastAsia="en-US"/>
    </w:rPr>
  </w:style>
  <w:style w:type="paragraph" w:styleId="Heading3">
    <w:name w:val="heading 3"/>
    <w:basedOn w:val="Normal"/>
    <w:next w:val="Normal"/>
    <w:qFormat/>
    <w:pPr>
      <w:keepNext w:val="true"/>
      <w:numPr>
        <w:ilvl w:val="2"/>
        <w:numId w:val="1"/>
      </w:numPr>
      <w:ind w:hanging="0" w:start="360" w:end="0"/>
      <w:outlineLvl w:val="2"/>
    </w:pPr>
    <w:rPr>
      <w:rFonts w:ascii="Arial" w:hAnsi="Arial" w:cs="Arial"/>
      <w:b/>
      <w:lang w:eastAsia="en-US"/>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u w:val="single"/>
      <w:lang w:eastAsia="en-US"/>
    </w:rPr>
  </w:style>
  <w:style w:type="paragraph" w:styleId="BodyText">
    <w:name w:val="Body Text"/>
    <w:basedOn w:val="Normal"/>
    <w:pPr>
      <w:tabs>
        <w:tab w:val="left" w:pos="720" w:leader="none"/>
      </w:tabs>
    </w:pPr>
    <w:rPr>
      <w:rFonts w:ascii="Arial" w:hAnsi="Arial" w:cs="Arial"/>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240" w:after="0"/>
      <w:ind w:hanging="0" w:start="360" w:end="0"/>
    </w:pPr>
    <w:rPr>
      <w:rFonts w:ascii="Arial" w:hAnsi="Arial" w:cs="Arial"/>
      <w:b/>
      <w:lang w:eastAsia="en-US"/>
    </w:rPr>
  </w:style>
  <w:style w:type="paragraph" w:styleId="BodyTextIndent2">
    <w:name w:val="Body Text Indent 2"/>
    <w:basedOn w:val="Normal"/>
    <w:qFormat/>
    <w:pPr>
      <w:spacing w:before="240" w:after="0"/>
      <w:ind w:firstLine="360" w:start="0" w:end="0"/>
    </w:pPr>
    <w:rPr>
      <w:rFonts w:ascii="Arial" w:hAnsi="Arial" w:cs="Arial"/>
      <w:b/>
      <w:lang w:eastAsia="en-US"/>
    </w:rPr>
  </w:style>
  <w:style w:type="paragraph" w:styleId="BodyTextIndent3">
    <w:name w:val="Body Text Indent 3"/>
    <w:basedOn w:val="Normal"/>
    <w:qFormat/>
    <w:pPr>
      <w:ind w:hanging="0" w:start="1080" w:end="0"/>
    </w:pPr>
    <w:rPr>
      <w:rFonts w:ascii="Arial" w:hAnsi="Arial" w:cs="Arial"/>
      <w:b/>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2000-10-24T18:34:00Z</dcterms:created>
  <dc:creator>LG&amp;E</dc:creator>
  <dc:description/>
  <dc:language>en-CA</dc:language>
  <cp:lastModifiedBy>Ben Rogers</cp:lastModifiedBy>
  <cp:lastPrinted>2000-10-24T19:13:00Z</cp:lastPrinted>
  <dcterms:modified xsi:type="dcterms:W3CDTF">2000-10-24T21:57:00Z</dcterms:modified>
  <cp:revision>33</cp:revision>
  <dc:subject/>
  <dc:title>Gleason</dc:title>
</cp:coreProperties>
</file>