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819"/>
          <w:tab w:val="clear" w:pos="9071"/>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mc:AlternateContent>
          <mc:Choice Requires="wps">
            <w:drawing>
              <wp:anchor behindDoc="0" distT="0" distB="0" distL="118745" distR="118745" simplePos="0" locked="0" layoutInCell="0" allowOverlap="1" relativeHeight="2">
                <wp:simplePos x="0" y="0"/>
                <wp:positionH relativeFrom="page">
                  <wp:posOffset>860425</wp:posOffset>
                </wp:positionH>
                <wp:positionV relativeFrom="page">
                  <wp:posOffset>1829435</wp:posOffset>
                </wp:positionV>
                <wp:extent cx="3383280" cy="1737995"/>
                <wp:effectExtent l="0" t="0" r="0" b="0"/>
                <wp:wrapSquare wrapText="bothSides"/>
                <wp:docPr id="1" name="Frame1"/>
                <a:graphic xmlns:a="http://schemas.openxmlformats.org/drawingml/2006/main">
                  <a:graphicData uri="http://schemas.microsoft.com/office/word/2010/wordprocessingShape">
                    <wps:wsp>
                      <wps:cNvSpPr txBox="1"/>
                      <wps:spPr>
                        <a:xfrm>
                          <a:off x="0" y="0"/>
                          <a:ext cx="3383280" cy="1737995"/>
                        </a:xfrm>
                        <a:prstGeom prst="rect"/>
                        <a:solidFill>
                          <a:srgbClr val="FFFFFF">
                            <a:alpha val="0"/>
                          </a:srgbClr>
                        </a:solidFill>
                      </wps:spPr>
                      <wps:txbx>
                        <w:txbxContent>
                          <w:p>
                            <w:pPr>
                              <w:pStyle w:val="Normal"/>
                              <w:shd w:fill="FFFFFF" w:val="clear"/>
                              <w:rPr>
                                <w:rFonts w:ascii="Times New Roman" w:hAnsi="Times New Roman" w:cs="Times New Roman"/>
                              </w:rPr>
                            </w:pPr>
                            <w:r>
                              <w:rPr>
                                <w:rFonts w:cs="Times New Roman" w:ascii="Times New Roman" w:hAnsi="Times New Roman"/>
                              </w:rPr>
                            </w:r>
                            <w:bookmarkStart w:id="0" w:name="RecName"/>
                            <w:bookmarkStart w:id="1" w:name="RecName"/>
                            <w:bookmarkEnd w:id="1"/>
                          </w:p>
                          <w:p>
                            <w:pPr>
                              <w:pStyle w:val="Normal"/>
                              <w:shd w:fill="FFFFFF" w:val="clear"/>
                              <w:rPr>
                                <w:rFonts w:ascii="Times New Roman" w:hAnsi="Times New Roman" w:cs="Times New Roman"/>
                              </w:rPr>
                            </w:pPr>
                            <w:r>
                              <w:rPr>
                                <w:rFonts w:cs="Times New Roman" w:ascii="Times New Roman" w:hAnsi="Times New Roman"/>
                              </w:rPr>
                            </w:r>
                            <w:bookmarkStart w:id="2" w:name="RecAddress"/>
                            <w:bookmarkStart w:id="3" w:name="RecAddress"/>
                            <w:bookmarkEnd w:id="3"/>
                          </w:p>
                          <w:p>
                            <w:pPr>
                              <w:pStyle w:val="Normal"/>
                              <w:shd w:fill="FFFFFF" w:val="clear"/>
                              <w:rPr>
                                <w:rFonts w:ascii="Times New Roman" w:hAnsi="Times New Roman" w:cs="Times New Roman"/>
                              </w:rPr>
                            </w:pPr>
                            <w:r>
                              <w:rPr>
                                <w:rFonts w:cs="Times New Roman" w:ascii="Times New Roman" w:hAnsi="Times New Roman"/>
                              </w:rPr>
                              <w:t>DRAFT LETTER TO UNDERWRITERS</w:t>
                            </w:r>
                          </w:p>
                        </w:txbxContent>
                      </wps:txbx>
                      <wps:bodyPr anchor="t" lIns="0" tIns="0" rIns="0" bIns="0">
                        <a:noAutofit/>
                      </wps:bodyPr>
                    </wps:wsp>
                  </a:graphicData>
                </a:graphic>
              </wp:anchor>
            </w:drawing>
          </mc:Choice>
          <mc:Fallback>
            <w:pict>
              <v:rect fillcolor="#FFFFFF" style="position:absolute;rotation:-0;width:266.4pt;height:136.85pt;mso-wrap-distance-left:9.35pt;mso-wrap-distance-right:9.35pt;mso-wrap-distance-top:0pt;mso-wrap-distance-bottom:0pt;margin-top:144.05pt;mso-position-vertical-relative:page;margin-left:67.75pt;mso-position-horizontal-relative:page">
                <v:fill opacity="0f"/>
                <v:textbox inset="0in,0in,0in,0in">
                  <w:txbxContent>
                    <w:p>
                      <w:pPr>
                        <w:pStyle w:val="Normal"/>
                        <w:shd w:fill="FFFFFF" w:val="clear"/>
                        <w:rPr>
                          <w:rFonts w:ascii="Times New Roman" w:hAnsi="Times New Roman" w:cs="Times New Roman"/>
                        </w:rPr>
                      </w:pPr>
                      <w:r>
                        <w:rPr>
                          <w:rFonts w:cs="Times New Roman" w:ascii="Times New Roman" w:hAnsi="Times New Roman"/>
                        </w:rPr>
                      </w:r>
                      <w:bookmarkStart w:id="4" w:name="RecName"/>
                      <w:bookmarkStart w:id="5" w:name="RecName"/>
                      <w:bookmarkEnd w:id="5"/>
                    </w:p>
                    <w:p>
                      <w:pPr>
                        <w:pStyle w:val="Normal"/>
                        <w:shd w:fill="FFFFFF" w:val="clear"/>
                        <w:rPr>
                          <w:rFonts w:ascii="Times New Roman" w:hAnsi="Times New Roman" w:cs="Times New Roman"/>
                        </w:rPr>
                      </w:pPr>
                      <w:r>
                        <w:rPr>
                          <w:rFonts w:cs="Times New Roman" w:ascii="Times New Roman" w:hAnsi="Times New Roman"/>
                        </w:rPr>
                      </w:r>
                      <w:bookmarkStart w:id="6" w:name="RecAddress"/>
                      <w:bookmarkStart w:id="7" w:name="RecAddress"/>
                      <w:bookmarkEnd w:id="7"/>
                    </w:p>
                    <w:p>
                      <w:pPr>
                        <w:pStyle w:val="Normal"/>
                        <w:shd w:fill="FFFFFF" w:val="clear"/>
                        <w:rPr>
                          <w:rFonts w:ascii="Times New Roman" w:hAnsi="Times New Roman" w:cs="Times New Roman"/>
                        </w:rPr>
                      </w:pPr>
                      <w:r>
                        <w:rPr>
                          <w:rFonts w:cs="Times New Roman" w:ascii="Times New Roman" w:hAnsi="Times New Roman"/>
                        </w:rPr>
                        <w:t>DRAFT LETTER TO UNDERWRITERS</w:t>
                      </w:r>
                    </w:p>
                  </w:txbxContent>
                </v:textbox>
                <w10:wrap type="squar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mc:AlternateContent>
          <mc:Choice Requires="wps">
            <w:drawing>
              <wp:anchor behindDoc="0" distT="0" distB="0" distL="118745" distR="118745" simplePos="0" locked="0" layoutInCell="0" allowOverlap="1" relativeHeight="3">
                <wp:simplePos x="0" y="0"/>
                <wp:positionH relativeFrom="page">
                  <wp:posOffset>5461635</wp:posOffset>
                </wp:positionH>
                <wp:positionV relativeFrom="paragraph">
                  <wp:posOffset>521970</wp:posOffset>
                </wp:positionV>
                <wp:extent cx="2299970" cy="466090"/>
                <wp:effectExtent l="0" t="0" r="0" b="0"/>
                <wp:wrapTopAndBottom/>
                <wp:docPr id="2" name="Frame2"/>
                <a:graphic xmlns:a="http://schemas.openxmlformats.org/drawingml/2006/main">
                  <a:graphicData uri="http://schemas.microsoft.com/office/word/2010/wordprocessingShape">
                    <wps:wsp>
                      <wps:cNvSpPr txBox="1"/>
                      <wps:spPr>
                        <a:xfrm>
                          <a:off x="0" y="0"/>
                          <a:ext cx="2299970" cy="466090"/>
                        </a:xfrm>
                        <a:prstGeom prst="rect"/>
                        <a:solidFill>
                          <a:srgbClr val="FFFFFF">
                            <a:alpha val="0"/>
                          </a:srgbClr>
                        </a:solidFill>
                        <a:ln w="9525">
                          <a:solidFill>
                            <a:srgbClr val="FFFFFF"/>
                          </a:solidFill>
                        </a:ln>
                      </wps:spPr>
                      <wps:txbx>
                        <w:txbxContent>
                          <w:p>
                            <w:pPr>
                              <w:pStyle w:val="Normal"/>
                              <w:shd w:fill="FFFFFF" w:val="clear"/>
                              <w:spacing w:before="0" w:after="80"/>
                              <w:rPr>
                                <w:rFonts w:ascii="RotisSemiSans" w:hAnsi="RotisSemiSans" w:cs="RotisSemiSans"/>
                                <w:sz w:val="16"/>
                              </w:rPr>
                            </w:pPr>
                            <w:bookmarkStart w:id="8" w:name="Internet"/>
                            <w:bookmarkEnd w:id="8"/>
                            <w:r>
                              <w:rPr>
                                <w:rFonts w:cs="RotisSemiSans" w:ascii="RotisSemiSans" w:hAnsi="RotisSemiSans"/>
                                <w:sz w:val="16"/>
                              </w:rPr>
                              <w:t>david.best@clyde.co.uk</w:t>
                            </w:r>
                          </w:p>
                        </w:txbxContent>
                      </wps:txbx>
                      <wps:bodyPr anchor="t" lIns="88900" tIns="88900" rIns="88900" bIns="88900">
                        <a:noAutofit/>
                      </wps:bodyPr>
                    </wps:wsp>
                  </a:graphicData>
                </a:graphic>
              </wp:anchor>
            </w:drawing>
          </mc:Choice>
          <mc:Fallback>
            <w:pict>
              <v:rect fillcolor="#FFFFFF" strokecolor="#FFFFFF" strokeweight="0pt" style="position:absolute;rotation:-0;width:181.1pt;height:36.7pt;mso-wrap-distance-left:9.35pt;mso-wrap-distance-right:9.35pt;mso-wrap-distance-top:0pt;mso-wrap-distance-bottom:0pt;margin-top:41.1pt;mso-position-vertical-relative:text;margin-left:430.05pt;mso-position-horizontal-relative:page">
                <v:fill opacity="0f"/>
                <v:textbox inset="0.0972222222222222in,0.0972222222222222in,0.0972222222222222in,0.0972222222222222in">
                  <w:txbxContent>
                    <w:p>
                      <w:pPr>
                        <w:pStyle w:val="Normal"/>
                        <w:shd w:fill="FFFFFF" w:val="clear"/>
                        <w:spacing w:before="0" w:after="80"/>
                        <w:rPr>
                          <w:rFonts w:ascii="RotisSemiSans" w:hAnsi="RotisSemiSans" w:cs="RotisSemiSans"/>
                          <w:sz w:val="16"/>
                        </w:rPr>
                      </w:pPr>
                      <w:bookmarkStart w:id="9" w:name="Internet"/>
                      <w:bookmarkEnd w:id="9"/>
                      <w:r>
                        <w:rPr>
                          <w:rFonts w:cs="RotisSemiSans" w:ascii="RotisSemiSans" w:hAnsi="RotisSemiSans"/>
                          <w:sz w:val="16"/>
                        </w:rPr>
                        <w:t>david.best@clyde.co.uk</w:t>
                      </w:r>
                    </w:p>
                  </w:txbxContent>
                </v:textbox>
                <w10:wrap type="topAndBottom"/>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bookmarkStart w:id="10" w:name="Attn"/>
      <w:bookmarkStart w:id="11" w:name="Attn"/>
      <w:bookmarkEnd w:id="11"/>
    </w:p>
    <w:p>
      <w:pPr>
        <w:pStyle w:val="Header"/>
        <w:tabs>
          <w:tab w:val="clear" w:pos="4819"/>
          <w:tab w:val="clear" w:pos="9071"/>
          <w:tab w:val="left" w:pos="3139" w:leader="none"/>
          <w:tab w:val="left" w:pos="6206" w:leader="none"/>
        </w:tabs>
        <w:spacing w:before="120" w:after="0"/>
        <w:rPr/>
      </w:pPr>
      <w:bookmarkStart w:id="12" w:name="ourref"/>
      <w:bookmarkEnd w:id="12"/>
      <w:r>
        <w:rPr>
          <w:rFonts w:cs="Times New Roman" w:ascii="Times New Roman" w:hAnsi="Times New Roman"/>
        </w:rPr>
        <w:t>DWB/0003923</w:t>
        <w:tab/>
      </w:r>
      <w:bookmarkStart w:id="13" w:name="Yourref"/>
      <w:bookmarkEnd w:id="13"/>
      <w:r>
        <w:rPr>
          <w:rFonts w:cs="Times New Roman" w:ascii="Times New Roman" w:hAnsi="Times New Roman"/>
        </w:rPr>
        <w:tab/>
      </w:r>
      <w:bookmarkStart w:id="14" w:name="date"/>
      <w:bookmarkEnd w:id="14"/>
      <w:r>
        <w:rPr>
          <w:rFonts w:cs="Times New Roman" w:ascii="Times New Roman" w:hAnsi="Times New Roman"/>
        </w:rPr>
        <w:t>4</w:t>
      </w:r>
      <w:r>
        <w:rPr>
          <w:rFonts w:cs="Times New Roman" w:ascii="Times New Roman" w:hAnsi="Times New Roman"/>
          <w:vertAlign w:val="superscript"/>
        </w:rPr>
        <w:t>th</w:t>
      </w:r>
      <w:r>
        <w:rPr>
          <w:rFonts w:cs="Times New Roman" w:ascii="Times New Roman" w:hAnsi="Times New Roman"/>
        </w:rPr>
        <w:t xml:space="preserve"> April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0"/>
        </w:numPr>
        <w:outlineLvl w:val="0"/>
        <w:rPr>
          <w:rFonts w:ascii="Times New Roman" w:hAnsi="Times New Roman" w:cs="Times New Roman"/>
        </w:rPr>
      </w:pPr>
      <w:r>
        <w:rPr>
          <w:rFonts w:cs="Times New Roman" w:ascii="Times New Roman" w:hAnsi="Times New Roman"/>
        </w:rPr>
        <w:t xml:space="preserve">Dear </w:t>
      </w:r>
      <w:bookmarkStart w:id="15" w:name="Salutation"/>
      <w:bookmarkEnd w:id="15"/>
      <w:r>
        <w:rPr>
          <w:rFonts w:cs="Times New Roman" w:ascii="Times New Roman" w:hAnsi="Times New Roman"/>
        </w:rPr>
        <w:t>Sirs,</w:t>
      </w:r>
    </w:p>
    <w:p>
      <w:pPr>
        <w:pStyle w:val="Normal"/>
        <w:rPr>
          <w:rFonts w:ascii="Times New Roman" w:hAnsi="Times New Roman" w:cs="Times New Roman"/>
        </w:rPr>
      </w:pPr>
      <w:r>
        <w:rPr>
          <w:rFonts w:cs="Times New Roman" w:ascii="Times New Roman" w:hAnsi="Times New Roman"/>
        </w:rPr>
      </w:r>
    </w:p>
    <w:p>
      <w:pPr>
        <w:pStyle w:val="Normal"/>
        <w:jc w:val="start"/>
        <w:rPr>
          <w:rFonts w:ascii="Times New Roman" w:hAnsi="Times New Roman" w:cs="Times New Roman"/>
          <w:b/>
          <w:u w:val="single"/>
        </w:rPr>
      </w:pPr>
      <w:bookmarkStart w:id="16" w:name="heading"/>
      <w:bookmarkEnd w:id="16"/>
      <w:r>
        <w:rPr>
          <w:rFonts w:cs="Times New Roman" w:ascii="Times New Roman" w:hAnsi="Times New Roman"/>
          <w:b/>
          <w:u w:val="single"/>
        </w:rPr>
        <w:t>"PACIFIC VIRGO"</w:t>
      </w:r>
    </w:p>
    <w:p>
      <w:pPr>
        <w:pStyle w:val="Normal"/>
        <w:jc w:val="start"/>
        <w:rPr>
          <w:rFonts w:ascii="Times New Roman" w:hAnsi="Times New Roman" w:cs="Times New Roman"/>
          <w:b/>
          <w:u w:val="single"/>
        </w:rPr>
      </w:pPr>
      <w:r>
        <w:rPr>
          <w:rFonts w:cs="Times New Roman" w:ascii="Times New Roman" w:hAnsi="Times New Roman"/>
          <w:b/>
          <w:u w:val="single"/>
        </w:rPr>
      </w:r>
    </w:p>
    <w:p>
      <w:pPr>
        <w:pStyle w:val="Normal"/>
        <w:spacing w:lineRule="auto" w:line="300"/>
        <w:rPr/>
      </w:pPr>
      <w:bookmarkStart w:id="17" w:name="BodyText"/>
      <w:bookmarkEnd w:id="17"/>
      <w:r>
        <w:rPr>
          <w:rFonts w:cs="Times New Roman" w:ascii="Times New Roman" w:hAnsi="Times New Roman"/>
        </w:rPr>
        <w:t xml:space="preserve">Enron Capital &amp; Trade Resources Singapore Pte. Limited (Enron) formally claims against you  </w:t>
      </w:r>
      <w:r>
        <w:rPr>
          <w:rFonts w:cs="Times New Roman" w:ascii="Times New Roman" w:hAnsi="Times New Roman"/>
          <w:b/>
          <w:strike/>
        </w:rPr>
        <w:t>the sum of U.S.$501,294.50 in respect of</w:t>
      </w:r>
      <w:r>
        <w:rPr>
          <w:rFonts w:cs="Times New Roman" w:ascii="Times New Roman" w:hAnsi="Times New Roman"/>
        </w:rPr>
        <w:t xml:space="preserve"> its losses arising from the contamination of Elang Crude carried on the “PACIFIC VIRGO” for a voyage from FPS “MODEC VENTURE 1”, Timor Sea to Ports in Thailand and the Philippines.  The carriage was pursuant to a bill of lading dated 21</w:t>
      </w:r>
      <w:r>
        <w:rPr>
          <w:rFonts w:cs="Times New Roman" w:ascii="Times New Roman" w:hAnsi="Times New Roman"/>
          <w:vertAlign w:val="superscript"/>
        </w:rPr>
        <w:t>st</w:t>
      </w:r>
      <w:r>
        <w:rPr>
          <w:rFonts w:cs="Times New Roman" w:ascii="Times New Roman" w:hAnsi="Times New Roman"/>
        </w:rPr>
        <w:t xml:space="preserve"> June 2000 and a charterparty dated 13</w:t>
      </w:r>
      <w:r>
        <w:rPr>
          <w:rFonts w:cs="Times New Roman" w:ascii="Times New Roman" w:hAnsi="Times New Roman"/>
          <w:vertAlign w:val="superscript"/>
        </w:rPr>
        <w:t>th</w:t>
      </w:r>
      <w:r>
        <w:rPr>
          <w:rFonts w:cs="Times New Roman" w:ascii="Times New Roman" w:hAnsi="Times New Roman"/>
        </w:rPr>
        <w:t xml:space="preserve"> June 2000.</w:t>
      </w:r>
    </w:p>
    <w:p>
      <w:pPr>
        <w:pStyle w:val="Header"/>
        <w:tabs>
          <w:tab w:val="clear" w:pos="4819"/>
          <w:tab w:val="clear" w:pos="9071"/>
        </w:tabs>
        <w:spacing w:lineRule="auto" w:line="300"/>
        <w:rPr>
          <w:rFonts w:ascii="Times New Roman" w:hAnsi="Times New Roman" w:cs="Times New Roman"/>
        </w:rPr>
      </w:pPr>
      <w:r>
        <w:rPr>
          <w:rFonts w:cs="Times New Roman" w:ascii="Times New Roman" w:hAnsi="Times New Roman"/>
        </w:rPr>
      </w:r>
    </w:p>
    <w:p>
      <w:pPr>
        <w:pStyle w:val="Normal"/>
        <w:spacing w:lineRule="auto" w:line="300"/>
        <w:rPr/>
      </w:pPr>
      <w:r>
        <w:rPr>
          <w:rFonts w:cs="Times New Roman" w:ascii="Times New Roman" w:hAnsi="Times New Roman"/>
        </w:rPr>
        <w:t xml:space="preserve">As to the fact that contamination occurred, this has been accepted by all interested parties, including Enron, the time-chartered owners Mitsubishi Corporation, and Enron’s receivers at Thailand and Batangas.  As underwriters are aware, the cargo was rejected by Enron’s receivers at the Philippines necessitating an alternative sale to receivers in Korea where the rejected cargo was carried under a new charterparty contract by Mitsubishi for an additional freight payment.  Enron agreed to pay US$501,294.50 for the additional freight plus US$18,684.70 for interest and £1,250 for costs.  Later Mitsubishi invoiced Enron for US$258,555.56 for the accrued demurrage at Batangas caused mainly be delays to the ship at Batangas whilst Enron sought solutions to the problem they had following rejection of the cargo.   </w:t>
      </w:r>
      <w:r>
        <w:rPr>
          <w:rFonts w:cs="Times New Roman" w:ascii="Times New Roman" w:hAnsi="Times New Roman"/>
          <w:b/>
        </w:rPr>
        <w:t>Additional costs were incurred in shipping replacement cargo to Enron’s receivers at Batangas, and these will be advised separately.</w:t>
      </w:r>
    </w:p>
    <w:p>
      <w:pPr>
        <w:pStyle w:val="Header"/>
        <w:tabs>
          <w:tab w:val="clear" w:pos="4819"/>
          <w:tab w:val="clear" w:pos="9071"/>
        </w:tabs>
        <w:spacing w:lineRule="auto" w:line="300"/>
        <w:rPr>
          <w:rFonts w:ascii="Times New Roman" w:hAnsi="Times New Roman" w:cs="Times New Roman"/>
          <w:b/>
        </w:rPr>
      </w:pPr>
      <w:r>
        <w:rPr>
          <w:rFonts w:cs="Times New Roman" w:ascii="Times New Roman" w:hAnsi="Times New Roman"/>
          <w:b/>
        </w:rPr>
      </w:r>
    </w:p>
    <w:p>
      <w:pPr>
        <w:pStyle w:val="Normal"/>
        <w:spacing w:lineRule="auto" w:line="300"/>
        <w:rPr>
          <w:rFonts w:ascii="Times New Roman" w:hAnsi="Times New Roman" w:cs="Times New Roman"/>
        </w:rPr>
      </w:pPr>
      <w:r>
        <w:rPr>
          <w:rFonts w:cs="Times New Roman" w:ascii="Times New Roman" w:hAnsi="Times New Roman"/>
        </w:rPr>
        <w:t xml:space="preserve">Following final discharge of the cargo at Korea, Enron made a claim against Mitsubishi and refrained from paying the freight and demurrage.  This prompted Mitsubishi to instruct London lawyers who issued proceedings applying for an interim award for the freight and the demurrage.  Enron by then had instructed Clyde &amp; Co. who already had advised that there was no defence to the freight retention even if Enron had a sound claim against the shipowners for contamination damages.  Accordingly the additional freight was paid.  The demurrage was not paid since Enron have invoked a technical defence that the demurrage claim is time barred on account of Mitsubishi’s failure to accompany the demurrage claim with a signed charterparty.  Owners have denied in correspondence that Enron are entitled to take this point and the matter is likely to be resolved as a preliminary issue in a London arbitration.  </w:t>
      </w:r>
    </w:p>
    <w:p>
      <w:pPr>
        <w:pStyle w:val="Normal"/>
        <w:spacing w:lineRule="auto" w:line="300"/>
        <w:rPr>
          <w:rFonts w:ascii="Times New Roman" w:hAnsi="Times New Roman" w:cs="Times New Roman"/>
        </w:rPr>
      </w:pPr>
      <w:r>
        <w:rPr>
          <w:rFonts w:cs="Times New Roman" w:ascii="Times New Roman" w:hAnsi="Times New Roman"/>
        </w:rPr>
      </w:r>
    </w:p>
    <w:p>
      <w:pPr>
        <w:pStyle w:val="Normal"/>
        <w:spacing w:lineRule="auto" w:line="300"/>
        <w:rPr/>
      </w:pPr>
      <w:r>
        <w:rPr>
          <w:rFonts w:cs="Times New Roman" w:ascii="Times New Roman" w:hAnsi="Times New Roman"/>
        </w:rPr>
        <w:t xml:space="preserve">Whilst Enron was responding to owners’ claims in the manner described above, it was actively consulting with its appointed expert chemists, Associated Petroleum Consultants Limited, recommended by Clyde &amp; Co.  Underwriters are aware of the discussions late last year between APC and Minton Treharne &amp; Davies, culminating in the transport of all samples from Singapore to UK and detailed laboratory testwork in January 2001.  Generally speaking the results of these complex tests were not sufficient to demonstrate that the vessel was responsible for the contamination on account of a </w:t>
      </w:r>
      <w:r>
        <w:rPr>
          <w:rFonts w:cs="Times New Roman" w:ascii="Times New Roman" w:hAnsi="Times New Roman"/>
          <w:b/>
        </w:rPr>
        <w:t>clear and obvious</w:t>
      </w:r>
      <w:r>
        <w:rPr>
          <w:rFonts w:cs="Times New Roman" w:ascii="Times New Roman" w:hAnsi="Times New Roman"/>
        </w:rPr>
        <w:t xml:space="preserve"> failure by Mitsubishi or shipowners to exercise due diligence to make the ship seaworthy </w:t>
      </w:r>
      <w:r>
        <w:rPr>
          <w:rFonts w:cs="Times New Roman" w:ascii="Times New Roman" w:hAnsi="Times New Roman"/>
          <w:b/>
        </w:rPr>
        <w:t xml:space="preserve">which can be particularised with certainty.  </w:t>
      </w:r>
      <w:r>
        <w:rPr>
          <w:rFonts w:cs="Times New Roman" w:ascii="Times New Roman" w:hAnsi="Times New Roman"/>
        </w:rPr>
        <w:t>On the other hand, they did not demonstrate a case against the suppliers.  APC have said more tests can be carried out at further expense.  Their current view is that contamination arising from increase in filterable dirt must on the balance of probability be transit related.  It should be noted that filterable dirt contamination on its own justified rejection of the cargo by the receivers at Batangas.</w:t>
      </w:r>
    </w:p>
    <w:p>
      <w:pPr>
        <w:pStyle w:val="Normal"/>
        <w:spacing w:lineRule="auto" w:line="300"/>
        <w:rPr>
          <w:rFonts w:ascii="Times New Roman" w:hAnsi="Times New Roman" w:cs="Times New Roman"/>
        </w:rPr>
      </w:pPr>
      <w:r>
        <w:rPr>
          <w:rFonts w:cs="Times New Roman" w:ascii="Times New Roman" w:hAnsi="Times New Roman"/>
        </w:rPr>
      </w:r>
    </w:p>
    <w:p>
      <w:pPr>
        <w:pStyle w:val="Normal"/>
        <w:spacing w:lineRule="auto" w:line="300"/>
        <w:rPr>
          <w:rFonts w:ascii="Times New Roman" w:hAnsi="Times New Roman" w:cs="Times New Roman"/>
        </w:rPr>
      </w:pPr>
      <w:r>
        <w:rPr>
          <w:rFonts w:cs="Times New Roman" w:ascii="Times New Roman" w:hAnsi="Times New Roman"/>
        </w:rPr>
        <w:t>To simplify, we set out APC’s conclusions in bullet point form:</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8"/>
        </w:numPr>
        <w:spacing w:lineRule="auto" w:line="300"/>
        <w:rPr>
          <w:rFonts w:ascii="Times New Roman" w:hAnsi="Times New Roman" w:cs="Times New Roman"/>
        </w:rPr>
      </w:pPr>
      <w:r>
        <w:rPr>
          <w:rFonts w:cs="Times New Roman" w:ascii="Times New Roman" w:hAnsi="Times New Roman"/>
        </w:rPr>
        <w:t>The cargo was on specification, pre-loading, for all parameters, including filterable ‘dirt’;</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5"/>
        </w:numPr>
        <w:spacing w:lineRule="auto" w:line="300"/>
        <w:rPr>
          <w:rFonts w:ascii="Times New Roman" w:hAnsi="Times New Roman" w:cs="Times New Roman"/>
        </w:rPr>
      </w:pPr>
      <w:r>
        <w:rPr>
          <w:rFonts w:cs="Times New Roman" w:ascii="Times New Roman" w:hAnsi="Times New Roman"/>
        </w:rPr>
        <w:t>The cargo was off-specification for a number of parameters at Batangas, via:</w:t>
      </w:r>
    </w:p>
    <w:p>
      <w:pPr>
        <w:pStyle w:val="Normal"/>
        <w:numPr>
          <w:ilvl w:val="0"/>
          <w:numId w:val="5"/>
        </w:numPr>
        <w:tabs>
          <w:tab w:val="left" w:pos="720" w:leader="none"/>
        </w:tabs>
        <w:spacing w:lineRule="auto" w:line="300"/>
        <w:ind w:hanging="360" w:start="720" w:end="0"/>
        <w:rPr>
          <w:rFonts w:ascii="Times New Roman" w:hAnsi="Times New Roman" w:cs="Times New Roman"/>
        </w:rPr>
      </w:pPr>
      <w:r>
        <w:rPr>
          <w:rFonts w:cs="Times New Roman" w:ascii="Times New Roman" w:hAnsi="Times New Roman"/>
        </w:rPr>
        <w:t>Filterable dirt</w:t>
      </w:r>
    </w:p>
    <w:p>
      <w:pPr>
        <w:pStyle w:val="Normal"/>
        <w:numPr>
          <w:ilvl w:val="0"/>
          <w:numId w:val="5"/>
        </w:numPr>
        <w:tabs>
          <w:tab w:val="left" w:pos="720" w:leader="none"/>
        </w:tabs>
        <w:spacing w:lineRule="auto" w:line="300"/>
        <w:ind w:hanging="360" w:start="720" w:end="0"/>
        <w:rPr>
          <w:rFonts w:ascii="Times New Roman" w:hAnsi="Times New Roman" w:cs="Times New Roman"/>
        </w:rPr>
      </w:pPr>
      <w:r>
        <w:rPr>
          <w:rFonts w:cs="Times New Roman" w:ascii="Times New Roman" w:hAnsi="Times New Roman"/>
        </w:rPr>
        <w:t>BS&amp;W</w:t>
      </w:r>
    </w:p>
    <w:p>
      <w:pPr>
        <w:pStyle w:val="Normal"/>
        <w:numPr>
          <w:ilvl w:val="0"/>
          <w:numId w:val="5"/>
        </w:numPr>
        <w:tabs>
          <w:tab w:val="left" w:pos="720" w:leader="none"/>
        </w:tabs>
        <w:spacing w:lineRule="auto" w:line="300"/>
        <w:ind w:hanging="360" w:start="720" w:end="0"/>
        <w:rPr>
          <w:rFonts w:ascii="Times New Roman" w:hAnsi="Times New Roman" w:cs="Times New Roman"/>
        </w:rPr>
      </w:pPr>
      <w:r>
        <w:rPr>
          <w:rFonts w:cs="Times New Roman" w:ascii="Times New Roman" w:hAnsi="Times New Roman"/>
        </w:rPr>
        <w:t>Ramsbottom carbon (including 10% residue)</w:t>
      </w:r>
    </w:p>
    <w:p>
      <w:pPr>
        <w:pStyle w:val="Normal"/>
        <w:numPr>
          <w:ilvl w:val="0"/>
          <w:numId w:val="5"/>
        </w:numPr>
        <w:tabs>
          <w:tab w:val="left" w:pos="720" w:leader="none"/>
        </w:tabs>
        <w:spacing w:lineRule="auto" w:line="300"/>
        <w:ind w:hanging="360" w:start="720" w:end="0"/>
        <w:rPr>
          <w:rFonts w:ascii="Times New Roman" w:hAnsi="Times New Roman" w:cs="Times New Roman"/>
        </w:rPr>
      </w:pPr>
      <w:r>
        <w:rPr>
          <w:rFonts w:cs="Times New Roman" w:ascii="Times New Roman" w:hAnsi="Times New Roman"/>
        </w:rPr>
        <w:t>Metals content (sodium + potassium, calcium, lead, vanadium + lead</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9"/>
        </w:numPr>
        <w:spacing w:lineRule="auto" w:line="300"/>
        <w:rPr>
          <w:rFonts w:ascii="Times New Roman" w:hAnsi="Times New Roman" w:cs="Times New Roman"/>
        </w:rPr>
      </w:pPr>
      <w:r>
        <w:rPr>
          <w:rFonts w:cs="Times New Roman" w:ascii="Times New Roman" w:hAnsi="Times New Roman"/>
        </w:rPr>
        <w:t>The most obvious failure was that of filterable ‘dirt’ which had increased (per 100ml) from 2mg pre-loading to 6.3mg at Koh Sichang to 120mg arrival Batangas</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7"/>
        </w:numPr>
        <w:spacing w:lineRule="auto" w:line="300"/>
        <w:rPr>
          <w:rFonts w:ascii="Times New Roman" w:hAnsi="Times New Roman" w:cs="Times New Roman"/>
        </w:rPr>
      </w:pPr>
      <w:r>
        <w:rPr>
          <w:rFonts w:cs="Times New Roman" w:ascii="Times New Roman" w:hAnsi="Times New Roman"/>
        </w:rPr>
        <w:t>Analysis of retained samples in January 2001 revealed a similar trend in that the filterable ‘dirt’ increased from loadport through to disport, albeit all samples appear to have ‘aged’ whilst in storage</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4"/>
        </w:numPr>
        <w:spacing w:lineRule="auto" w:line="300"/>
        <w:rPr>
          <w:rFonts w:ascii="Times New Roman" w:hAnsi="Times New Roman" w:cs="Times New Roman"/>
        </w:rPr>
      </w:pPr>
      <w:r>
        <w:rPr>
          <w:rFonts w:cs="Times New Roman" w:ascii="Times New Roman" w:hAnsi="Times New Roman"/>
        </w:rPr>
        <w:t>The ageing process was manifest in an increase in ‘dirt’ for all samples and is consistent with oxidation of the samples to produce “gums”</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2"/>
        </w:numPr>
        <w:spacing w:lineRule="auto" w:line="300"/>
        <w:rPr>
          <w:rFonts w:ascii="Times New Roman" w:hAnsi="Times New Roman" w:cs="Times New Roman"/>
        </w:rPr>
      </w:pPr>
      <w:r>
        <w:rPr>
          <w:rFonts w:cs="Times New Roman" w:ascii="Times New Roman" w:hAnsi="Times New Roman"/>
        </w:rPr>
        <w:t>The elemental composition of the ‘dirt’ (“gums”) was essentially identical for the pre-load samples and the arrival ship’s composite sample in Batangas implying a common oxidation process that was exacerbated/enhanced during the period of carriage</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6"/>
        </w:numPr>
        <w:spacing w:lineRule="auto" w:line="300"/>
        <w:rPr>
          <w:rFonts w:ascii="Times New Roman" w:hAnsi="Times New Roman" w:cs="Times New Roman"/>
        </w:rPr>
      </w:pPr>
      <w:r>
        <w:rPr>
          <w:rFonts w:cs="Times New Roman" w:ascii="Times New Roman" w:hAnsi="Times New Roman"/>
        </w:rPr>
        <w:t>No robust evidence has been obtained to date which would pinpoint any agent(s) on the vessel that may have been responsible for the acceleration of the ageing process</w:t>
      </w:r>
    </w:p>
    <w:p>
      <w:pPr>
        <w:pStyle w:val="Normal"/>
        <w:spacing w:lineRule="auto" w:line="300"/>
        <w:rPr>
          <w:rFonts w:ascii="Times New Roman" w:hAnsi="Times New Roman" w:cs="Times New Roman"/>
        </w:rPr>
      </w:pPr>
      <w:r>
        <w:rPr>
          <w:rFonts w:cs="Times New Roman" w:ascii="Times New Roman" w:hAnsi="Times New Roman"/>
        </w:rPr>
      </w:r>
    </w:p>
    <w:p>
      <w:pPr>
        <w:pStyle w:val="Normal"/>
        <w:numPr>
          <w:ilvl w:val="0"/>
          <w:numId w:val="3"/>
        </w:numPr>
        <w:spacing w:lineRule="auto" w:line="300"/>
        <w:rPr>
          <w:rFonts w:ascii="Times New Roman" w:hAnsi="Times New Roman" w:cs="Times New Roman"/>
        </w:rPr>
      </w:pPr>
      <w:r>
        <w:rPr>
          <w:rFonts w:cs="Times New Roman" w:ascii="Times New Roman" w:hAnsi="Times New Roman"/>
        </w:rPr>
        <w:t>There is no evidence that the cargo suffered from inherent vice.</w:t>
      </w:r>
    </w:p>
    <w:p>
      <w:pPr>
        <w:pStyle w:val="Normal"/>
        <w:spacing w:lineRule="auto" w:line="300"/>
        <w:rPr>
          <w:rFonts w:ascii="Times New Roman" w:hAnsi="Times New Roman" w:cs="Times New Roman"/>
        </w:rPr>
      </w:pPr>
      <w:r>
        <w:rPr>
          <w:rFonts w:cs="Times New Roman" w:ascii="Times New Roman" w:hAnsi="Times New Roman"/>
        </w:rPr>
      </w:r>
    </w:p>
    <w:p>
      <w:pPr>
        <w:pStyle w:val="Normal"/>
        <w:spacing w:lineRule="auto" w:line="300"/>
        <w:rPr/>
      </w:pPr>
      <w:r>
        <w:rPr>
          <w:rFonts w:cs="Times New Roman" w:ascii="Times New Roman" w:hAnsi="Times New Roman"/>
        </w:rPr>
        <w:t xml:space="preserve">We also attach Tables 1 and 2 contrasting the results from ITS West Thurrock in January 2001 (Table 1) and a selection of results from SGS Singapore, Thailand and Subic Bay (Table 2) in June/July 2000.  Your attention is drawn to the filterable dirt results and the dramatic increase in filterable dirt in Tables 1 and 2 from loadport to disport at Batangas.  APC have pointed out two ship-related mechanisms that may well have been responsible for the increase in filterable dirt during transit, particularly between Thailand and Batangas.  They have suggested that the aluminium/brass heating coils and/or the integrity of the inert gas blanket may have sufficient bearings on the stability of the cargo to explain the dramatic increase in filterable dirt during transit.  It is, however, not Enron’s burden to prove the source of the contamination where they have cover for loss due to contamination </w:t>
      </w:r>
      <w:r>
        <w:rPr>
          <w:rFonts w:cs="Times New Roman" w:ascii="Times New Roman" w:hAnsi="Times New Roman"/>
          <w:i/>
        </w:rPr>
        <w:t>howsoever arising</w:t>
      </w:r>
      <w:r>
        <w:rPr>
          <w:rFonts w:cs="Times New Roman" w:ascii="Times New Roman" w:hAnsi="Times New Roman"/>
        </w:rPr>
        <w:t>.  Based on advice they have received from their expert chemist, Enron believes it is appropriate to make a claim on underwriters in circumstances where the evidence to date points to contamination occurring on board the vessel.</w:t>
      </w:r>
    </w:p>
    <w:p>
      <w:pPr>
        <w:pStyle w:val="Normal"/>
        <w:spacing w:lineRule="auto" w:line="300"/>
        <w:rPr>
          <w:rFonts w:ascii="Times New Roman" w:hAnsi="Times New Roman" w:cs="Times New Roman"/>
        </w:rPr>
      </w:pPr>
      <w:r>
        <w:rPr>
          <w:rFonts w:cs="Times New Roman" w:ascii="Times New Roman" w:hAnsi="Times New Roman"/>
        </w:rPr>
      </w:r>
    </w:p>
    <w:p>
      <w:pPr>
        <w:pStyle w:val="Normal"/>
        <w:spacing w:lineRule="auto" w:line="300"/>
        <w:rPr>
          <w:rFonts w:ascii="Times New Roman" w:hAnsi="Times New Roman" w:cs="Times New Roman"/>
        </w:rPr>
      </w:pPr>
      <w:r>
        <w:rPr>
          <w:rFonts w:cs="Times New Roman" w:ascii="Times New Roman" w:hAnsi="Times New Roman"/>
        </w:rPr>
        <w:t xml:space="preserve">Accordingly, Enron looks forward to receiving underwriters’ positive response to this claim in the near future.  </w:t>
      </w:r>
    </w:p>
    <w:p>
      <w:pPr>
        <w:pStyle w:val="Normal"/>
        <w:spacing w:lineRule="auto" w:line="30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Yours very truly,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CLYDE &amp; CO.</w:t>
      </w:r>
    </w:p>
    <w:p>
      <w:pPr>
        <w:pStyle w:val="Normal"/>
        <w:spacing w:lineRule="auto" w:line="300"/>
        <w:rPr>
          <w:rFonts w:ascii="Times New Roman" w:hAnsi="Times New Roman" w:cs="Times New Roman"/>
        </w:rPr>
      </w:pPr>
      <w:r>
        <w:rPr>
          <w:rFonts w:cs="Times New Roman" w:ascii="Times New Roman" w:hAnsi="Times New Roman"/>
        </w:rPr>
      </w:r>
    </w:p>
    <w:sectPr>
      <w:headerReference w:type="default" r:id="rId2"/>
      <w:headerReference w:type="first" r:id="rId3"/>
      <w:footerReference w:type="default" r:id="rId4"/>
      <w:footerReference w:type="first" r:id="rId5"/>
      <w:type w:val="nextPage"/>
      <w:pgSz w:w="11906" w:h="16838"/>
      <w:pgMar w:left="1354" w:right="1354" w:gutter="0" w:header="1080" w:top="2707" w:footer="23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Impact"/>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RotisSemiSan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rPr>
      <w:t xml:space="preserve">LDNLIT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460671.01</w:t>
    </w:r>
    <w:r>
      <w:rPr>
        <w:rFonts w:cs="Times New Roman" w:ascii="Times New Roman" w:hAnsi="Times New Roman"/>
      </w:rPr>
      <w:fldChar w:fldCharType="end"/>
    </w:r>
    <w:r>
      <w:rPr>
        <w:rFonts w:cs="Times New Roman" w:ascii="Times New Roman" w:hAnsi="Times New Roman"/>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start="-274" w:end="0"/>
      <w:rPr/>
    </w:pPr>
    <w:r>
      <w:rPr/>
    </w:r>
    <w:r>
      <mc:AlternateContent>
        <mc:Choice Requires="wps">
          <w:drawing>
            <wp:anchor behindDoc="0" distT="0" distB="0" distL="118745" distR="118745" simplePos="0" locked="0" layoutInCell="0" allowOverlap="1" relativeHeight="4">
              <wp:simplePos x="0" y="0"/>
              <wp:positionH relativeFrom="page">
                <wp:posOffset>750570</wp:posOffset>
              </wp:positionH>
              <wp:positionV relativeFrom="paragraph">
                <wp:posOffset>-643890</wp:posOffset>
              </wp:positionV>
              <wp:extent cx="6318250" cy="725805"/>
              <wp:effectExtent l="0" t="0" r="0" b="0"/>
              <wp:wrapTopAndBottom/>
              <wp:docPr id="3" name="Frame3"/>
              <a:graphic xmlns:a="http://schemas.openxmlformats.org/drawingml/2006/main">
                <a:graphicData uri="http://schemas.microsoft.com/office/word/2010/wordprocessingShape">
                  <wps:wsp>
                    <wps:cNvSpPr txBox="1"/>
                    <wps:spPr>
                      <a:xfrm>
                        <a:off x="0" y="0"/>
                        <a:ext cx="6318250" cy="725805"/>
                      </a:xfrm>
                      <a:prstGeom prst="rect"/>
                      <a:solidFill>
                        <a:srgbClr val="FFFFFF">
                          <a:alpha val="0"/>
                        </a:srgbClr>
                      </a:solidFill>
                    </wps:spPr>
                    <wps:txbx>
                      <w:txbxContent>
                        <w:p>
                          <w:pPr>
                            <w:pStyle w:val="Heading1"/>
                            <w:ind w:hanging="0" w:start="0"/>
                            <w:rPr>
                              <w:b w:val="false"/>
                              <w:sz w:val="16"/>
                            </w:rPr>
                          </w:pPr>
                          <w:r>
                            <w:rPr>
                              <w:b w:val="false"/>
                              <w:sz w:val="16"/>
                            </w:rPr>
                            <w:t xml:space="preserve">LDNLIT  </w:t>
                          </w:r>
                          <w:r>
                            <w:rPr>
                              <w:b w:val="false"/>
                              <w:sz w:val="16"/>
                            </w:rPr>
                            <w:fldChar w:fldCharType="begin"/>
                          </w:r>
                          <w:r>
                            <w:rPr>
                              <w:sz w:val="16"/>
                              <w:b w:val="false"/>
                            </w:rPr>
                            <w:instrText xml:space="preserve"> TITLE </w:instrText>
                          </w:r>
                          <w:r>
                            <w:rPr>
                              <w:sz w:val="16"/>
                              <w:b w:val="false"/>
                            </w:rPr>
                            <w:fldChar w:fldCharType="separate"/>
                          </w:r>
                          <w:r>
                            <w:rPr>
                              <w:sz w:val="16"/>
                              <w:b w:val="false"/>
                            </w:rPr>
                            <w:t>460671.01</w:t>
                          </w:r>
                          <w:r>
                            <w:rPr>
                              <w:sz w:val="16"/>
                              <w:b w:val="false"/>
                            </w:rPr>
                            <w:fldChar w:fldCharType="end"/>
                          </w:r>
                        </w:p>
                      </w:txbxContent>
                    </wps:txbx>
                    <wps:bodyPr anchor="t" lIns="0" tIns="0" rIns="0" bIns="0">
                      <a:noAutofit/>
                    </wps:bodyPr>
                  </wps:wsp>
                </a:graphicData>
              </a:graphic>
            </wp:anchor>
          </w:drawing>
        </mc:Choice>
        <mc:Fallback>
          <w:pict>
            <v:rect fillcolor="#FFFFFF" style="position:absolute;rotation:-0;width:497.5pt;height:57.15pt;mso-wrap-distance-left:9.35pt;mso-wrap-distance-right:9.35pt;mso-wrap-distance-top:0pt;mso-wrap-distance-bottom:0pt;margin-top:-50.7pt;mso-position-vertical-relative:text;margin-left:59.1pt;mso-position-horizontal-relative:page">
              <v:fill opacity="0f"/>
              <v:textbox inset="0in,0in,0in,0in">
                <w:txbxContent>
                  <w:p>
                    <w:pPr>
                      <w:pStyle w:val="Heading1"/>
                      <w:ind w:hanging="0" w:start="0"/>
                      <w:rPr>
                        <w:b w:val="false"/>
                        <w:sz w:val="16"/>
                      </w:rPr>
                    </w:pPr>
                    <w:r>
                      <w:rPr>
                        <w:b w:val="false"/>
                        <w:sz w:val="16"/>
                      </w:rPr>
                      <w:t xml:space="preserve">LDNLIT  </w:t>
                    </w:r>
                    <w:r>
                      <w:rPr>
                        <w:b w:val="false"/>
                        <w:sz w:val="16"/>
                      </w:rPr>
                      <w:fldChar w:fldCharType="begin"/>
                    </w:r>
                    <w:r>
                      <w:rPr>
                        <w:sz w:val="16"/>
                        <w:b w:val="false"/>
                      </w:rPr>
                      <w:instrText xml:space="preserve"> TITLE </w:instrText>
                    </w:r>
                    <w:r>
                      <w:rPr>
                        <w:sz w:val="16"/>
                        <w:b w:val="false"/>
                      </w:rPr>
                      <w:fldChar w:fldCharType="separate"/>
                    </w:r>
                    <w:r>
                      <w:rPr>
                        <w:sz w:val="16"/>
                        <w:b w:val="false"/>
                      </w:rPr>
                      <w:t>460671.01</w:t>
                    </w:r>
                    <w:r>
                      <w:rPr>
                        <w:sz w:val="16"/>
                        <w:b w:val="false"/>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071"/>
      </w:tabs>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Impact" w:hAnsi="CG Times;Impact" w:eastAsia="Times New Roman" w:cs="CG Times;Impact"/>
      <w:color w:val="auto"/>
      <w:sz w:val="24"/>
      <w:szCs w:val="20"/>
      <w:lang w:val="en-GB" w:eastAsia="zh-CN" w:bidi="hi-IN"/>
    </w:rPr>
  </w:style>
  <w:style w:type="paragraph" w:styleId="Heading1">
    <w:name w:val="heading 1"/>
    <w:basedOn w:val="Normal"/>
    <w:next w:val="Normal"/>
    <w:qFormat/>
    <w:pPr>
      <w:keepNext w:val="true"/>
      <w:numPr>
        <w:ilvl w:val="0"/>
        <w:numId w:val="1"/>
      </w:numPr>
      <w:shd w:fill="FFFFFF" w:val="clear"/>
      <w:outlineLvl w:val="0"/>
    </w:pPr>
    <w:rPr>
      <w:rFonts w:ascii="Times New Roman" w:hAnsi="Times New Roman" w:cs="Times New Roman"/>
      <w:b/>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z w:val="18"/>
    </w:rPr>
  </w:style>
  <w:style w:type="paragraph" w:styleId="Header">
    <w:name w:val="header"/>
    <w:basedOn w:val="Normal"/>
    <w:pPr>
      <w:tabs>
        <w:tab w:val="clear" w:pos="720"/>
        <w:tab w:val="center" w:pos="4819" w:leader="none"/>
        <w:tab w:val="right" w:pos="9071"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2001-03-22T12:50:00Z</dcterms:created>
  <dc:creator>Clyde &amp; Co</dc:creator>
  <dc:description/>
  <dc:language>en-CA</dc:language>
  <cp:lastModifiedBy>Clyde &amp; Co</cp:lastModifiedBy>
  <cp:lastPrinted>2001-04-04T09:00:00Z</cp:lastPrinted>
  <dcterms:modified xsi:type="dcterms:W3CDTF">2001-04-23T06:14:00Z</dcterms:modified>
  <cp:revision>8</cp:revision>
  <dc:subject/>
  <dc:title>460671.01</dc:title>
</cp:coreProperties>
</file>