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w w:val="79"/>
          <w:lang w:val="en-CA"/>
        </w:rPr>
      </w:pPr>
      <w:r>
        <w:rPr>
          <w:w w:val="79"/>
          <w:lang w:val="en-CA"/>
        </w:rPr>
      </w:r>
      <w:r>
        <mc:AlternateContent>
          <mc:Choice Requires="wps">
            <w:drawing>
              <wp:anchor behindDoc="0" distT="0" distB="0" distL="114935" distR="114935" simplePos="0" locked="0" layoutInCell="1" allowOverlap="1" relativeHeight="8">
                <wp:simplePos x="0" y="0"/>
                <wp:positionH relativeFrom="column">
                  <wp:posOffset>2240280</wp:posOffset>
                </wp:positionH>
                <wp:positionV relativeFrom="page">
                  <wp:posOffset>1554480</wp:posOffset>
                </wp:positionV>
                <wp:extent cx="1554480" cy="255270"/>
                <wp:effectExtent l="0" t="0" r="0" b="0"/>
                <wp:wrapNone/>
                <wp:docPr id="1" name="Frame1"/>
                <a:graphic xmlns:a="http://schemas.openxmlformats.org/drawingml/2006/main">
                  <a:graphicData uri="http://schemas.microsoft.com/office/word/2010/wordprocessingShape">
                    <wps:wsp>
                      <wps:cNvSpPr txBox="1"/>
                      <wps:spPr>
                        <a:xfrm>
                          <a:off x="0" y="0"/>
                          <a:ext cx="1554480" cy="255270"/>
                        </a:xfrm>
                        <a:prstGeom prst="rect"/>
                        <a:solidFill>
                          <a:srgbClr val="FFFFFF"/>
                        </a:solidFill>
                      </wps:spPr>
                      <wps:txbx>
                        <w:txbxContent>
                          <w:p>
                            <w:pPr>
                              <w:pStyle w:val="Normal"/>
                              <w:rPr>
                                <w:b/>
                                <w:spacing w:val="40"/>
                              </w:rPr>
                            </w:pPr>
                            <w:r>
                              <w:rPr>
                                <w:b/>
                                <w:spacing w:val="40"/>
                              </w:rPr>
                              <w:t>MEMORANDUM</w:t>
                            </w:r>
                          </w:p>
                        </w:txbxContent>
                      </wps:txbx>
                      <wps:bodyPr anchor="t" lIns="635" tIns="635" rIns="635" bIns="635">
                        <a:noAutofit/>
                      </wps:bodyPr>
                    </wps:wsp>
                  </a:graphicData>
                </a:graphic>
              </wp:anchor>
            </w:drawing>
          </mc:Choice>
          <mc:Fallback>
            <w:pict>
              <v:rect fillcolor="#FFFFFF" style="position:absolute;rotation:-0;width:122.4pt;height:20.1pt;mso-wrap-distance-left:9.05pt;mso-wrap-distance-right:9.05pt;mso-wrap-distance-top:0pt;mso-wrap-distance-bottom:0pt;margin-top:122.4pt;mso-position-vertical-relative:page;margin-left:176.4pt;mso-position-horizontal-relative:text">
                <v:textbox inset="0.000694444444444445in,0.000694444444444445in,0.000694444444444445in,0.000694444444444445in">
                  <w:txbxContent>
                    <w:p>
                      <w:pPr>
                        <w:pStyle w:val="Normal"/>
                        <w:rPr>
                          <w:b/>
                          <w:spacing w:val="40"/>
                        </w:rPr>
                      </w:pPr>
                      <w:r>
                        <w:rPr>
                          <w:b/>
                          <w:spacing w:val="40"/>
                        </w:rPr>
                        <w:t>MEMORANDUM</w:t>
                      </w:r>
                    </w:p>
                  </w:txbxContent>
                </v:textbox>
                <w10:wrap type="none"/>
              </v:rect>
            </w:pict>
          </mc:Fallback>
        </mc:AlternateContent>
      </w:r>
    </w:p>
    <w:p>
      <w:pPr>
        <w:pStyle w:val="Normal"/>
        <w:rPr>
          <w:w w:val="79"/>
        </w:rPr>
      </w:pPr>
      <w:r>
        <w:rPr>
          <w:w w:val="79"/>
        </w:rPr>
      </w:r>
    </w:p>
    <w:p>
      <w:pPr>
        <w:pStyle w:val="Normal"/>
        <w:rPr>
          <w:w w:val="79"/>
        </w:rPr>
      </w:pPr>
      <w:r>
        <w:rPr>
          <w:w w:val="79"/>
        </w:rPr>
      </w:r>
    </w:p>
    <w:p>
      <w:pPr>
        <w:pStyle w:val="Normal"/>
        <w:rPr>
          <w:w w:val="68"/>
        </w:rPr>
      </w:pPr>
      <w:r>
        <w:rPr>
          <w:w w:val="68"/>
        </w:rPr>
      </w:r>
    </w:p>
    <w:p>
      <w:pPr>
        <w:pStyle w:val="Normal"/>
        <w:rPr>
          <w:w w:val="68"/>
          <w:lang w:val="en-CA"/>
        </w:rPr>
      </w:pPr>
      <w:r>
        <w:rPr>
          <w:w w:val="68"/>
          <w:lang w:val="en-CA"/>
        </w:rPr>
      </w:r>
      <w:r>
        <mc:AlternateContent>
          <mc:Choice Requires="wps">
            <w:drawing>
              <wp:anchor behindDoc="0" distT="0" distB="0" distL="114935" distR="114935" simplePos="0" locked="0" layoutInCell="1" allowOverlap="1" relativeHeight="7">
                <wp:simplePos x="0" y="0"/>
                <wp:positionH relativeFrom="column">
                  <wp:posOffset>-91440</wp:posOffset>
                </wp:positionH>
                <wp:positionV relativeFrom="paragraph">
                  <wp:posOffset>-356870</wp:posOffset>
                </wp:positionV>
                <wp:extent cx="3931920" cy="486410"/>
                <wp:effectExtent l="0" t="0" r="0" b="0"/>
                <wp:wrapNone/>
                <wp:docPr id="2" name="Frame2"/>
                <a:graphic xmlns:a="http://schemas.openxmlformats.org/drawingml/2006/main">
                  <a:graphicData uri="http://schemas.microsoft.com/office/word/2010/wordprocessingShape">
                    <wps:wsp>
                      <wps:cNvSpPr txBox="1"/>
                      <wps:spPr>
                        <a:xfrm>
                          <a:off x="0" y="0"/>
                          <a:ext cx="3931920" cy="486410"/>
                        </a:xfrm>
                        <a:prstGeom prst="rect"/>
                        <a:solidFill>
                          <a:srgbClr val="FFFFFF"/>
                        </a:solidFill>
                      </wps:spPr>
                      <wps:txbx>
                        <w:txbxContent>
                          <w:p>
                            <w:pPr>
                              <w:pStyle w:val="Normal"/>
                              <w:rPr>
                                <w:rFonts w:ascii="BCGLogo" w:hAnsi="BCGLogo" w:cs="BCGLogo"/>
                                <w:sz w:val="70"/>
                              </w:rPr>
                            </w:pPr>
                            <w:r>
                              <w:rPr>
                                <w:rFonts w:cs="BCGLogo" w:ascii="BCGLogo" w:hAnsi="BCGLogo"/>
                                <w:sz w:val="70"/>
                              </w:rPr>
                              <w:t>1234</w:t>
                            </w:r>
                          </w:p>
                          <w:p>
                            <w:pPr>
                              <w:pStyle w:val="Normal"/>
                              <w:jc w:val="center"/>
                              <w:rPr>
                                <w:rFonts w:ascii="BCGLogo" w:hAnsi="BCGLogo" w:cs="BCGLogo"/>
                                <w:b/>
                                <w:spacing w:val="40"/>
                                <w:sz w:val="16"/>
                              </w:rPr>
                            </w:pPr>
                            <w:r>
                              <w:rPr>
                                <w:rFonts w:cs="BCGLogo" w:ascii="BCGLogo" w:hAnsi="BCGLogo"/>
                                <w:b/>
                                <w:spacing w:val="40"/>
                                <w:sz w:val="16"/>
                              </w:rPr>
                            </w:r>
                          </w:p>
                          <w:p>
                            <w:pPr>
                              <w:pStyle w:val="Normal"/>
                              <w:jc w:val="center"/>
                              <w:rPr>
                                <w:b/>
                                <w:spacing w:val="40"/>
                                <w:sz w:val="16"/>
                              </w:rPr>
                            </w:pPr>
                            <w:r>
                              <w:rPr>
                                <w:b/>
                                <w:spacing w:val="40"/>
                                <w:sz w:val="16"/>
                              </w:rPr>
                            </w:r>
                          </w:p>
                        </w:txbxContent>
                      </wps:txbx>
                      <wps:bodyPr anchor="t" lIns="92075" tIns="46355" rIns="92075" bIns="46355">
                        <a:noAutofit/>
                      </wps:bodyPr>
                    </wps:wsp>
                  </a:graphicData>
                </a:graphic>
              </wp:anchor>
            </w:drawing>
          </mc:Choice>
          <mc:Fallback>
            <w:pict>
              <v:rect fillcolor="#FFFFFF" style="position:absolute;rotation:-0;width:309.6pt;height:38.3pt;mso-wrap-distance-left:9.05pt;mso-wrap-distance-right:9.05pt;mso-wrap-distance-top:0pt;mso-wrap-distance-bottom:0pt;margin-top:-28.1pt;mso-position-vertical-relative:text;margin-left:-7.2pt;mso-position-horizontal-relative:text">
                <v:textbox inset="0.100694444444444in,0.0506944444444444in,0.100694444444444in,0.0506944444444444in">
                  <w:txbxContent>
                    <w:p>
                      <w:pPr>
                        <w:pStyle w:val="Normal"/>
                        <w:rPr>
                          <w:rFonts w:ascii="BCGLogo" w:hAnsi="BCGLogo" w:cs="BCGLogo"/>
                          <w:sz w:val="70"/>
                        </w:rPr>
                      </w:pPr>
                      <w:r>
                        <w:rPr>
                          <w:rFonts w:cs="BCGLogo" w:ascii="BCGLogo" w:hAnsi="BCGLogo"/>
                          <w:sz w:val="70"/>
                        </w:rPr>
                        <w:t>1234</w:t>
                      </w:r>
                    </w:p>
                    <w:p>
                      <w:pPr>
                        <w:pStyle w:val="Normal"/>
                        <w:jc w:val="center"/>
                        <w:rPr>
                          <w:rFonts w:ascii="BCGLogo" w:hAnsi="BCGLogo" w:cs="BCGLogo"/>
                          <w:b/>
                          <w:spacing w:val="40"/>
                          <w:sz w:val="16"/>
                        </w:rPr>
                      </w:pPr>
                      <w:r>
                        <w:rPr>
                          <w:rFonts w:cs="BCGLogo" w:ascii="BCGLogo" w:hAnsi="BCGLogo"/>
                          <w:b/>
                          <w:spacing w:val="40"/>
                          <w:sz w:val="16"/>
                        </w:rPr>
                      </w:r>
                    </w:p>
                    <w:p>
                      <w:pPr>
                        <w:pStyle w:val="Normal"/>
                        <w:jc w:val="center"/>
                        <w:rPr>
                          <w:b/>
                          <w:spacing w:val="40"/>
                          <w:sz w:val="16"/>
                        </w:rPr>
                      </w:pPr>
                      <w:r>
                        <w:rPr>
                          <w:b/>
                          <w:spacing w:val="40"/>
                          <w:sz w:val="16"/>
                        </w:rPr>
                      </w:r>
                    </w:p>
                  </w:txbxContent>
                </v:textbox>
                <w10:wrap type="none"/>
              </v:rect>
            </w:pict>
          </mc:Fallback>
        </mc:AlternateContent>
      </w:r>
    </w:p>
    <w:p>
      <w:pPr>
        <w:pStyle w:val="Normal"/>
        <w:rPr>
          <w:spacing w:val="40"/>
          <w:w w:val="68"/>
        </w:rPr>
      </w:pPr>
      <w:r>
        <w:rPr>
          <w:spacing w:val="40"/>
          <w:w w:val="68"/>
        </w:rPr>
      </w:r>
    </w:p>
    <w:p>
      <w:pPr>
        <w:pStyle w:val="Normal"/>
        <w:rPr>
          <w:spacing w:val="60"/>
        </w:rPr>
      </w:pPr>
      <w:r>
        <w:rPr>
          <w:spacing w:val="60"/>
        </w:rPr>
      </w:r>
    </w:p>
    <w:p>
      <w:pPr>
        <w:pStyle w:val="Normal"/>
        <w:rPr>
          <w:spacing w:val="60"/>
        </w:rPr>
      </w:pPr>
      <w:r>
        <w:rPr>
          <w:spacing w:val="60"/>
        </w:rPr>
      </w:r>
    </w:p>
    <w:p>
      <w:pPr>
        <w:pStyle w:val="Normal"/>
        <w:rPr/>
      </w:pPr>
      <w:r>
        <w:rPr/>
      </w:r>
    </w:p>
    <w:tbl>
      <w:tblPr>
        <w:tblW w:w="9360" w:type="dxa"/>
        <w:jc w:val="start"/>
        <w:tblInd w:w="0" w:type="dxa"/>
        <w:tblLayout w:type="fixed"/>
        <w:tblCellMar>
          <w:top w:w="0" w:type="dxa"/>
          <w:start w:w="108" w:type="dxa"/>
          <w:bottom w:w="0" w:type="dxa"/>
          <w:end w:w="108" w:type="dxa"/>
        </w:tblCellMar>
      </w:tblPr>
      <w:tblGrid>
        <w:gridCol w:w="1278"/>
        <w:gridCol w:w="4302"/>
        <w:gridCol w:w="540"/>
        <w:gridCol w:w="3240"/>
      </w:tblGrid>
      <w:tr>
        <w:trPr>
          <w:trHeight w:val="120" w:hRule="atLeast"/>
        </w:trPr>
        <w:tc>
          <w:tcPr>
            <w:tcW w:w="1278" w:type="dxa"/>
            <w:tcBorders/>
          </w:tcPr>
          <w:p>
            <w:pPr>
              <w:pStyle w:val="Normal"/>
              <w:rPr>
                <w:b/>
              </w:rPr>
            </w:pPr>
            <w:r>
              <w:rPr>
                <w:b/>
              </w:rPr>
              <w:t>TO:</w:t>
            </w:r>
          </w:p>
        </w:tc>
        <w:tc>
          <w:tcPr>
            <w:tcW w:w="4302" w:type="dxa"/>
            <w:tcBorders/>
          </w:tcPr>
          <w:p>
            <w:pPr>
              <w:pStyle w:val="Normal"/>
              <w:rPr/>
            </w:pPr>
            <w:bookmarkStart w:id="0" w:name="to"/>
            <w:bookmarkEnd w:id="0"/>
            <w:r>
              <w:rPr/>
              <w:t>Glenn F. Leslie</w:t>
            </w:r>
          </w:p>
          <w:p>
            <w:pPr>
              <w:pStyle w:val="Normal"/>
              <w:rPr/>
            </w:pPr>
            <w:r>
              <w:rPr/>
              <w:t>A. Webster Macdonald Jr., Q.C.</w:t>
            </w:r>
          </w:p>
          <w:p>
            <w:pPr>
              <w:pStyle w:val="Normal"/>
              <w:rPr/>
            </w:pPr>
            <w:r>
              <w:rPr/>
              <w:t>Mark A. Morrison</w:t>
            </w:r>
          </w:p>
        </w:tc>
        <w:tc>
          <w:tcPr>
            <w:tcW w:w="540" w:type="dxa"/>
            <w:vMerge w:val="restart"/>
            <w:tcBorders/>
          </w:tcPr>
          <w:p>
            <w:pPr>
              <w:pStyle w:val="Normal"/>
              <w:snapToGrid w:val="false"/>
              <w:rPr>
                <w:b/>
              </w:rPr>
            </w:pPr>
            <w:r>
              <w:rPr>
                <w:b/>
              </w:rPr>
            </w:r>
            <w:bookmarkStart w:id="1" w:name="cc"/>
            <w:bookmarkStart w:id="2" w:name="cc"/>
            <w:bookmarkEnd w:id="2"/>
          </w:p>
        </w:tc>
        <w:tc>
          <w:tcPr>
            <w:tcW w:w="3240" w:type="dxa"/>
            <w:vMerge w:val="restart"/>
            <w:tcBorders/>
          </w:tcPr>
          <w:p>
            <w:pPr>
              <w:pStyle w:val="Normal"/>
              <w:snapToGrid w:val="false"/>
              <w:rPr>
                <w:b/>
              </w:rPr>
            </w:pPr>
            <w:r>
              <w:rPr>
                <w:b/>
              </w:rPr>
            </w:r>
            <w:bookmarkStart w:id="3" w:name="cctext"/>
            <w:bookmarkStart w:id="4" w:name="cctext"/>
            <w:bookmarkEnd w:id="4"/>
          </w:p>
        </w:tc>
      </w:tr>
      <w:tr>
        <w:trPr>
          <w:trHeight w:val="285" w:hRule="atLeast"/>
        </w:trPr>
        <w:tc>
          <w:tcPr>
            <w:tcW w:w="1278" w:type="dxa"/>
            <w:tcBorders/>
          </w:tcPr>
          <w:p>
            <w:pPr>
              <w:pStyle w:val="Normal"/>
              <w:snapToGrid w:val="false"/>
              <w:rPr>
                <w:b/>
              </w:rPr>
            </w:pPr>
            <w:r>
              <w:rPr>
                <w:b/>
              </w:rPr>
            </w:r>
          </w:p>
        </w:tc>
        <w:tc>
          <w:tcPr>
            <w:tcW w:w="4302" w:type="dxa"/>
            <w:tcBorders/>
          </w:tcPr>
          <w:p>
            <w:pPr>
              <w:pStyle w:val="Normal"/>
              <w:snapToGrid w:val="false"/>
              <w:rPr>
                <w:b/>
              </w:rPr>
            </w:pPr>
            <w:r>
              <w:rPr>
                <w:b/>
              </w:rPr>
            </w:r>
          </w:p>
        </w:tc>
        <w:tc>
          <w:tcPr>
            <w:tcW w:w="540" w:type="dxa"/>
            <w:vMerge w:val="continue"/>
            <w:tcBorders/>
          </w:tcPr>
          <w:p>
            <w:pPr>
              <w:pStyle w:val="Normal"/>
              <w:snapToGrid w:val="false"/>
              <w:rPr>
                <w:b/>
              </w:rPr>
            </w:pPr>
            <w:r>
              <w:rPr>
                <w:b/>
              </w:rPr>
            </w:r>
          </w:p>
        </w:tc>
        <w:tc>
          <w:tcPr>
            <w:tcW w:w="3240" w:type="dxa"/>
            <w:vMerge w:val="continue"/>
            <w:tcBorders/>
          </w:tcPr>
          <w:p>
            <w:pPr>
              <w:pStyle w:val="Normal"/>
              <w:snapToGrid w:val="false"/>
              <w:rPr>
                <w:b/>
              </w:rPr>
            </w:pPr>
            <w:r>
              <w:rPr>
                <w:b/>
              </w:rPr>
            </w:r>
          </w:p>
        </w:tc>
      </w:tr>
      <w:tr>
        <w:trPr>
          <w:trHeight w:val="540" w:hRule="atLeast"/>
        </w:trPr>
        <w:tc>
          <w:tcPr>
            <w:tcW w:w="1278" w:type="dxa"/>
            <w:tcBorders/>
          </w:tcPr>
          <w:p>
            <w:pPr>
              <w:pStyle w:val="Normal"/>
              <w:rPr>
                <w:b/>
              </w:rPr>
            </w:pPr>
            <w:r>
              <w:rPr>
                <w:b/>
              </w:rPr>
              <w:t>FROM:</w:t>
            </w:r>
          </w:p>
        </w:tc>
        <w:tc>
          <w:tcPr>
            <w:tcW w:w="4302" w:type="dxa"/>
            <w:tcBorders/>
          </w:tcPr>
          <w:p>
            <w:pPr>
              <w:pStyle w:val="Normal"/>
              <w:rPr/>
            </w:pPr>
            <w:bookmarkStart w:id="5" w:name="from"/>
            <w:bookmarkEnd w:id="5"/>
            <w:r>
              <w:rPr/>
              <w:t>Dalton W. McGrath</w:t>
            </w:r>
          </w:p>
        </w:tc>
        <w:tc>
          <w:tcPr>
            <w:tcW w:w="540" w:type="dxa"/>
            <w:tcBorders/>
          </w:tcPr>
          <w:p>
            <w:pPr>
              <w:pStyle w:val="Normal"/>
              <w:snapToGrid w:val="false"/>
              <w:rPr/>
            </w:pPr>
            <w:r>
              <w:rPr/>
            </w:r>
          </w:p>
        </w:tc>
        <w:tc>
          <w:tcPr>
            <w:tcW w:w="3240" w:type="dxa"/>
            <w:tcBorders/>
          </w:tcPr>
          <w:p>
            <w:pPr>
              <w:pStyle w:val="Normal"/>
              <w:snapToGrid w:val="false"/>
              <w:rPr/>
            </w:pPr>
            <w:r>
              <w:rPr/>
            </w:r>
          </w:p>
        </w:tc>
      </w:tr>
      <w:tr>
        <w:trPr>
          <w:trHeight w:val="467" w:hRule="atLeast"/>
        </w:trPr>
        <w:tc>
          <w:tcPr>
            <w:tcW w:w="1278" w:type="dxa"/>
            <w:tcBorders/>
          </w:tcPr>
          <w:p>
            <w:pPr>
              <w:pStyle w:val="Normal"/>
              <w:rPr>
                <w:b/>
              </w:rPr>
            </w:pPr>
            <w:r>
              <w:rPr>
                <w:b/>
              </w:rPr>
              <w:t>DATE:</w:t>
            </w:r>
          </w:p>
        </w:tc>
        <w:tc>
          <w:tcPr>
            <w:tcW w:w="4302" w:type="dxa"/>
            <w:tcBorders/>
          </w:tcPr>
          <w:p>
            <w:pPr>
              <w:pStyle w:val="Normal"/>
              <w:rPr/>
            </w:pPr>
            <w:bookmarkStart w:id="6" w:name="date"/>
            <w:bookmarkEnd w:id="6"/>
            <w:r>
              <w:rPr/>
              <w:t>November 3, 2000</w:t>
            </w:r>
          </w:p>
        </w:tc>
        <w:tc>
          <w:tcPr>
            <w:tcW w:w="540" w:type="dxa"/>
            <w:tcBorders/>
          </w:tcPr>
          <w:p>
            <w:pPr>
              <w:pStyle w:val="Normal"/>
              <w:snapToGrid w:val="false"/>
              <w:rPr/>
            </w:pPr>
            <w:r>
              <w:rPr/>
            </w:r>
          </w:p>
        </w:tc>
        <w:tc>
          <w:tcPr>
            <w:tcW w:w="3240" w:type="dxa"/>
            <w:tcBorders/>
          </w:tcPr>
          <w:p>
            <w:pPr>
              <w:pStyle w:val="Normal"/>
              <w:snapToGrid w:val="false"/>
              <w:rPr/>
            </w:pPr>
            <w:r>
              <w:rPr/>
            </w:r>
          </w:p>
        </w:tc>
      </w:tr>
      <w:tr>
        <w:trPr>
          <w:trHeight w:val="465" w:hRule="atLeast"/>
        </w:trPr>
        <w:tc>
          <w:tcPr>
            <w:tcW w:w="1278" w:type="dxa"/>
            <w:tcBorders/>
          </w:tcPr>
          <w:p>
            <w:pPr>
              <w:pStyle w:val="Normal"/>
              <w:rPr>
                <w:b/>
              </w:rPr>
            </w:pPr>
            <w:r>
              <w:rPr>
                <w:b/>
              </w:rPr>
              <w:t>C/M No.:</w:t>
            </w:r>
          </w:p>
        </w:tc>
        <w:tc>
          <w:tcPr>
            <w:tcW w:w="4302" w:type="dxa"/>
            <w:tcBorders/>
          </w:tcPr>
          <w:p>
            <w:pPr>
              <w:pStyle w:val="Normal"/>
              <w:rPr/>
            </w:pPr>
            <w:bookmarkStart w:id="7" w:name="reference"/>
            <w:bookmarkEnd w:id="7"/>
            <w:r>
              <w:rPr/>
              <w:t>83829/44</w:t>
            </w:r>
          </w:p>
        </w:tc>
        <w:tc>
          <w:tcPr>
            <w:tcW w:w="540" w:type="dxa"/>
            <w:tcBorders/>
          </w:tcPr>
          <w:p>
            <w:pPr>
              <w:pStyle w:val="Normal"/>
              <w:snapToGrid w:val="false"/>
              <w:rPr/>
            </w:pPr>
            <w:r>
              <w:rPr/>
            </w:r>
          </w:p>
        </w:tc>
        <w:tc>
          <w:tcPr>
            <w:tcW w:w="3240" w:type="dxa"/>
            <w:tcBorders/>
          </w:tcPr>
          <w:p>
            <w:pPr>
              <w:pStyle w:val="Normal"/>
              <w:snapToGrid w:val="false"/>
              <w:rPr/>
            </w:pPr>
            <w:r>
              <w:rPr/>
            </w:r>
          </w:p>
        </w:tc>
      </w:tr>
      <w:tr>
        <w:trPr>
          <w:trHeight w:val="513" w:hRule="atLeast"/>
        </w:trPr>
        <w:tc>
          <w:tcPr>
            <w:tcW w:w="1278" w:type="dxa"/>
            <w:tcBorders/>
          </w:tcPr>
          <w:p>
            <w:pPr>
              <w:pStyle w:val="Normal"/>
              <w:rPr>
                <w:b/>
              </w:rPr>
            </w:pPr>
            <w:r>
              <w:rPr>
                <w:b/>
              </w:rPr>
              <w:t>RE:</w:t>
            </w:r>
          </w:p>
        </w:tc>
        <w:tc>
          <w:tcPr>
            <w:tcW w:w="8082" w:type="dxa"/>
            <w:gridSpan w:val="3"/>
            <w:tcBorders/>
          </w:tcPr>
          <w:p>
            <w:pPr>
              <w:pStyle w:val="Normal"/>
              <w:rPr/>
            </w:pPr>
            <w:bookmarkStart w:id="8" w:name="re"/>
            <w:bookmarkEnd w:id="8"/>
            <w:r>
              <w:rPr/>
              <w:t>Project Stanley</w:t>
            </w:r>
          </w:p>
        </w:tc>
      </w:tr>
    </w:tbl>
    <w:p>
      <w:pPr>
        <w:pStyle w:val="Normal"/>
        <w:rPr>
          <w:lang w:val="en-CA"/>
        </w:rPr>
      </w:pPr>
      <w:r>
        <w:rPr>
          <w:lang w:val="en-CA"/>
        </w:rPr>
        <mc:AlternateContent>
          <mc:Choice Requires="wps">
            <w:drawing>
              <wp:anchor behindDoc="0" distT="0" distB="0" distL="114935" distR="114935" simplePos="0" locked="0" layoutInCell="0" allowOverlap="1" relativeHeight="6">
                <wp:simplePos x="0" y="0"/>
                <wp:positionH relativeFrom="page">
                  <wp:posOffset>914400</wp:posOffset>
                </wp:positionH>
                <wp:positionV relativeFrom="paragraph">
                  <wp:posOffset>133985</wp:posOffset>
                </wp:positionV>
                <wp:extent cx="5943600" cy="0"/>
                <wp:effectExtent l="0" t="9525" r="0" b="9525"/>
                <wp:wrapNone/>
                <wp:docPr id="3"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2pt,10.55pt" to="539.95pt,10.55pt" stroked="t" o:allowincell="f" style="position:absolute;mso-position-horizontal-relative:page">
                <v:stroke color="black" weight="19080" joinstyle="miter" endcap="flat"/>
                <v:fill o:detectmouseclick="t" on="false"/>
                <w10:wrap type="none"/>
              </v:line>
            </w:pict>
          </mc:Fallback>
        </mc:AlternateContent>
      </w:r>
    </w:p>
    <w:p>
      <w:pPr>
        <w:pStyle w:val="Normal"/>
        <w:suppressAutoHyphens w:val="true"/>
        <w:rPr/>
      </w:pPr>
      <w:r>
        <w:rPr/>
      </w:r>
    </w:p>
    <w:p>
      <w:pPr>
        <w:pStyle w:val="Normal"/>
        <w:suppressAutoHyphens w:val="true"/>
        <w:rPr>
          <w:i/>
          <w:i/>
        </w:rPr>
      </w:pPr>
      <w:r>
        <w:rPr>
          <w:i/>
        </w:rPr>
        <w:t>Introduction</w:t>
      </w:r>
    </w:p>
    <w:p>
      <w:pPr>
        <w:pStyle w:val="Normal"/>
        <w:suppressAutoHyphens w:val="true"/>
        <w:rPr/>
      </w:pPr>
      <w:r>
        <w:rPr/>
      </w:r>
    </w:p>
    <w:p>
      <w:pPr>
        <w:pStyle w:val="Normal"/>
        <w:suppressAutoHyphens w:val="true"/>
        <w:jc w:val="both"/>
        <w:rPr/>
      </w:pPr>
      <w:r>
        <w:rPr/>
        <w:t xml:space="preserve">As requested, I have now had an opportunity to review the October 13, 2000 Report of the Market Surveillance Administrator (“MSA”) entitled </w:t>
      </w:r>
      <w:r>
        <w:rPr>
          <w:i/>
        </w:rPr>
        <w:t>Report on the Power Pool of Alberta Prices – Summer, 2000</w:t>
      </w:r>
      <w:r>
        <w:rPr/>
        <w:t xml:space="preserve"> (the “Report”) with a view to determine whether it contains material which is helpful, harmful or otherwise neutral to the position being advanced on behalf of Enron Canada Corp. (“Enron Canada”).</w:t>
      </w:r>
    </w:p>
    <w:p>
      <w:pPr>
        <w:pStyle w:val="Normal"/>
        <w:suppressAutoHyphens w:val="true"/>
        <w:jc w:val="both"/>
        <w:rPr/>
      </w:pPr>
      <w:r>
        <w:rPr/>
      </w:r>
    </w:p>
    <w:p>
      <w:pPr>
        <w:pStyle w:val="Normal"/>
        <w:suppressAutoHyphens w:val="true"/>
        <w:jc w:val="both"/>
        <w:rPr/>
      </w:pPr>
      <w:r>
        <w:rPr/>
        <w:t xml:space="preserve">The Report purports to have been produced in response to government and industry representative concerns regarding the high market prices posted during the summer of 2000.  No direct references are made to the impugned transactions between Enron Canada and British Columbia Power Exchange Corporation (“Powerex”).  Although the Report deals primarily with an analysis of electricity prices during the summer of 2000, it notes that there had “been a great deal of suggestion and innuendo that causation for high prices during the spring and summer of 2000 has been by design” as articulated to the Alberta Energy and Utilities Board as well as to the Alberta Department of Resource Development by, </w:t>
      </w:r>
      <w:r>
        <w:rPr>
          <w:i/>
        </w:rPr>
        <w:t>inter alia</w:t>
      </w:r>
      <w:r>
        <w:rPr/>
        <w:t xml:space="preserve">, the Industrial Power Consumers &amp; Cogenerators Association of Alberta and the City of Lethbridge.  The Report concludes that given the analysis conducted to date, “no conclusion can be drawn as to the supportability of any concerns”.  The Report expressed considerable concern in respect of the impact imported power had on the Alberta electricity market price.  The substantial focus of that analysis was directed directly at Powerex.  By way of example, the Report noted that in April, 2000, Powerex was essentially in the lead on price setting wherein Powerex was setting the price 51% of the time when the price was $100 or greater and was setting the price 76% of the time when the price was $498 or above.  The Report also notes that serious concern has been expressed concerning the form of tariff implemented by Powerex and the fact Powerex has increasingly become the pivotal importer of electricity.  It notes, for example, that if competition on the intertie is limited, due to the regulatory model for the tariff or otherwise, the market price could arguably be disproportionately affected and/or reliability impacted by the actions of a successful importer such as Powerex.  The Report notes that the MSA “has conferred informally” with the Competition Bureau regarding the B.C. intertie as to whether such behaviour is of a type that could contravene the </w:t>
      </w:r>
      <w:r>
        <w:rPr>
          <w:i/>
        </w:rPr>
        <w:t>Competition Act</w:t>
      </w:r>
      <w:r>
        <w:rPr/>
        <w:t>.  In short, it appears that the activities of Powerex are under close scrutiny and criticism in general.  The Report notes that the MSA is generally without jurisdiction to deal with certain issues relating to the B.C. intertie and an implied sense of frustration is noted in that regard.  Having regard to the circumstances, it is a reasonable assumption that:</w:t>
      </w:r>
    </w:p>
    <w:p>
      <w:pPr>
        <w:pStyle w:val="Normal"/>
        <w:suppressAutoHyphens w:val="true"/>
        <w:jc w:val="both"/>
        <w:rPr/>
      </w:pPr>
      <w:r>
        <w:rPr/>
      </w:r>
    </w:p>
    <w:p>
      <w:pPr>
        <w:pStyle w:val="Standard2L2"/>
        <w:numPr>
          <w:ilvl w:val="1"/>
          <w:numId w:val="3"/>
        </w:numPr>
        <w:ind w:hanging="0" w:start="0"/>
        <w:rPr/>
      </w:pPr>
      <w:r>
        <w:rPr/>
        <w:t>the MSA has and continues to be diligent in its scrutiny of Powerex and its activities;</w:t>
      </w:r>
    </w:p>
    <w:p>
      <w:pPr>
        <w:pStyle w:val="Standard2L2"/>
        <w:numPr>
          <w:ilvl w:val="1"/>
          <w:numId w:val="3"/>
        </w:numPr>
        <w:ind w:hanging="0" w:start="0"/>
        <w:rPr/>
      </w:pPr>
      <w:r>
        <w:rPr/>
        <w:t>the MSA is clearly frustrated at its jurisdictional inability to deal with what it views as legitimate concerns regarding the B.C. tariff and related intertie considerations;</w:t>
      </w:r>
    </w:p>
    <w:p>
      <w:pPr>
        <w:pStyle w:val="Standard2L2"/>
        <w:numPr>
          <w:ilvl w:val="1"/>
          <w:numId w:val="3"/>
        </w:numPr>
        <w:ind w:hanging="0" w:start="0"/>
        <w:rPr/>
      </w:pPr>
      <w:r>
        <w:rPr/>
        <w:t>as a result of those factors referred to in (b) above, it is a reasonable assumption that the MSA would more readily pursue Powerex in respect of any impugned activity which it considered to be within its jurisdiction;</w:t>
      </w:r>
    </w:p>
    <w:p>
      <w:pPr>
        <w:pStyle w:val="Standard2L2"/>
        <w:numPr>
          <w:ilvl w:val="1"/>
          <w:numId w:val="3"/>
        </w:numPr>
        <w:ind w:hanging="0" w:start="0"/>
        <w:rPr/>
      </w:pPr>
      <w:r>
        <w:rPr/>
        <w:t xml:space="preserve">the MSA has had previous discussions with the Competition Bureau and has requested them to consider whether the behaviour of Powerex in relation to the tariff and B.C. intertie issues is of a type that could contravene the </w:t>
      </w:r>
      <w:r>
        <w:rPr>
          <w:i/>
        </w:rPr>
        <w:t>Competition Act</w:t>
      </w:r>
      <w:r>
        <w:rPr/>
        <w:t xml:space="preserve"> and appears to be of the view that Powerex does not play by the rules.</w:t>
      </w:r>
    </w:p>
    <w:p>
      <w:pPr>
        <w:pStyle w:val="NumContinue"/>
        <w:rPr/>
      </w:pPr>
      <w:r>
        <w:rPr/>
        <w:t>Although the views of the MSA will not necessarily be adopted by the Competition Bureau, the critical view of Powerex will be an important dynamic and consideration in our discussions with the Competition Bureau.</w:t>
      </w:r>
    </w:p>
    <w:p>
      <w:pPr>
        <w:pStyle w:val="NumContinue"/>
        <w:rPr>
          <w:i/>
          <w:i/>
        </w:rPr>
      </w:pPr>
      <w:r>
        <w:rPr>
          <w:i/>
        </w:rPr>
        <w:t>Specific Findings</w:t>
      </w:r>
    </w:p>
    <w:p>
      <w:pPr>
        <w:pStyle w:val="NumContinue"/>
        <w:rPr/>
      </w:pPr>
      <w:r>
        <w:rPr/>
        <w:t>As stated above, the Report is largely confined to comments concerning electricity prices during the spring and summer of 2000, however, it contains a number of comments and observations which may be of assistance to Enron Canada.  I have noted and otherwise commented upon the most relevant aspects below:</w:t>
      </w:r>
    </w:p>
    <w:p>
      <w:pPr>
        <w:pStyle w:val="Standard2L2"/>
        <w:numPr>
          <w:ilvl w:val="1"/>
          <w:numId w:val="3"/>
        </w:numPr>
        <w:ind w:hanging="0" w:start="0"/>
        <w:rPr/>
      </w:pPr>
      <w:r>
        <w:rPr/>
        <w:t>the Report notes that there has been a general price escalation in almost all de-regulated electricity markets in North America.  It notes, at p. 3, as follows:</w:t>
      </w:r>
    </w:p>
    <w:p>
      <w:pPr>
        <w:pStyle w:val="Quote"/>
        <w:ind w:start="2160" w:end="720"/>
        <w:rPr/>
      </w:pPr>
      <w:r>
        <w:rPr/>
        <w:t>. . . The cost of imported energy being offered into the PPoA is higher as a result.  There has also been a dramatic increase in off-peak prices in various markets in the western interconnection (less so in MAPP) as shown in Table 1 below.</w:t>
      </w:r>
    </w:p>
    <w:p>
      <w:pPr>
        <w:pStyle w:val="Quote"/>
        <w:ind w:start="2160" w:end="720"/>
        <w:rPr/>
      </w:pPr>
      <w:r>
        <w:rPr/>
        <w:t>Across the U.S., recent data suggests that wholesale power prices have more than doubled at 14 out of 17 key hubs over the past three years.</w:t>
      </w:r>
    </w:p>
    <w:p>
      <w:pPr>
        <w:pStyle w:val="Normal"/>
        <w:rPr/>
      </w:pPr>
      <w:r>
        <w:rPr/>
      </w:r>
    </w:p>
    <w:p>
      <w:pPr>
        <w:pStyle w:val="Normal"/>
        <w:ind w:start="1440" w:end="0"/>
        <w:jc w:val="both"/>
        <w:rPr/>
      </w:pPr>
      <w:r>
        <w:rPr/>
        <w:t>The attachments to the Report support Enron Canada’s position that market forces have contributed to dramatically increasing the cost of electricity throughout North America.  In particular, Table 2 of the Report shows that the percentage change in electricity prices between 1997-2000 in the U.S. ranges from approximately an 80% increase in the mid-Atlantic region to an increase of 293% in Texas (presumably because of its wide use of the electric chair).</w:t>
      </w:r>
    </w:p>
    <w:p>
      <w:pPr>
        <w:pStyle w:val="Normal"/>
        <w:rPr/>
      </w:pPr>
      <w:r>
        <w:rPr/>
      </w:r>
    </w:p>
    <w:p>
      <w:pPr>
        <w:pStyle w:val="Standard2L2"/>
        <w:numPr>
          <w:ilvl w:val="1"/>
          <w:numId w:val="3"/>
        </w:numPr>
        <w:ind w:hanging="0" w:start="0"/>
        <w:rPr/>
      </w:pPr>
      <w:r>
        <w:rPr/>
        <w:t>The Report also notes, on a related point, that alternative markets with higher prices create opportunity costs for importers which legitimately create higher offer prices.  In particular, it is noted, on p. 5, as follows:</w:t>
      </w:r>
    </w:p>
    <w:p>
      <w:pPr>
        <w:pStyle w:val="Quote"/>
        <w:ind w:start="2160" w:end="720"/>
        <w:rPr/>
      </w:pPr>
      <w:r>
        <w:rPr/>
        <w:t>The level of prices in other markets is a key factor influencing the level of import volumes which are able to be made available to Alberta, as well as the level of export and PPoA prices because of increased demand due to higher export volumes from Alberta.  Alternative markets create opportunity costs for (importer) suppliers, the true costs of which are a legitimate pass through to offer prices.  . . . High off-peak prices in other markets have led to an increase in the demand for Alberta power for export – thus putting upward pressure on off-peak prices in the PPoA.</w:t>
      </w:r>
    </w:p>
    <w:p>
      <w:pPr>
        <w:pStyle w:val="Normal"/>
        <w:rPr/>
      </w:pPr>
      <w:r>
        <w:rPr/>
      </w:r>
    </w:p>
    <w:p>
      <w:pPr>
        <w:pStyle w:val="Standard2L2"/>
        <w:numPr>
          <w:ilvl w:val="1"/>
          <w:numId w:val="3"/>
        </w:numPr>
        <w:ind w:hanging="0" w:start="0"/>
        <w:rPr/>
      </w:pPr>
      <w:r>
        <w:rPr/>
        <w:t>The Report confirms that the demand for electricity in Alberta has created “a virtually inelastic demand curve”.  With such a vertical demand curve, changes in the supply curve (which consists of various steps signifying the increased costs of supply from coal to more expensive gas and turbine generation) can create substantial price increases in times of tight supply and corresponding load increases.  The Report acknowledges this issue, at p. 11, as follows:</w:t>
      </w:r>
    </w:p>
    <w:p>
      <w:pPr>
        <w:pStyle w:val="Quote"/>
        <w:ind w:start="2160" w:end="720"/>
        <w:rPr/>
      </w:pPr>
      <w:r>
        <w:rPr/>
        <w:t>. . . At present, given the stage of deregulation and the incremental approach taken, significant demand-side response is essentially non-existent.  With a virtually inelastic demand curve, market discipline can only come from the supply side and/or through price caps.  Otherwise, demand simply is a price taker – the price is the price level on the supply curve corresponding to the quantity level set by system load.  With a supply curve that is a step function this can result in material price changes as load increases (particularly given very large and high steps at the top of the supply curve, which can occur in times of tight supply).  Given the needs of load, and no significant price sensitive loads, suppliers can offer in at least some quantities at high prices with not a great deal of risk of not being dispatched – see further discussion under Section C.</w:t>
      </w:r>
    </w:p>
    <w:p>
      <w:pPr>
        <w:pStyle w:val="Normal"/>
        <w:ind w:start="1440" w:end="0"/>
        <w:jc w:val="both"/>
        <w:rPr/>
      </w:pPr>
      <w:r>
        <w:rPr/>
        <w:t>The Report also notes that periods of tight supply can cause blocks in the merit order to be disproportionately supplied by higher cost units than usual in those circumstances.  In particular, the Report notes, at p. 6, as follows:</w:t>
      </w:r>
    </w:p>
    <w:p>
      <w:pPr>
        <w:pStyle w:val="Normal"/>
        <w:rPr/>
      </w:pPr>
      <w:r>
        <w:rPr/>
      </w:r>
    </w:p>
    <w:p>
      <w:pPr>
        <w:pStyle w:val="Quote"/>
        <w:ind w:start="2160" w:end="720"/>
        <w:rPr/>
      </w:pPr>
      <w:r>
        <w:rPr/>
        <w:t>Further, periods of tightness can be caused by unavailability of units (rather than, or in addition to, increase in loads) and some of the unavailable units may be the lower cost units.  As such, blocks in the merit order will be disproportionately supplied by higher cost units than typically.</w:t>
      </w:r>
    </w:p>
    <w:p>
      <w:pPr>
        <w:pStyle w:val="Standard2L2"/>
        <w:numPr>
          <w:ilvl w:val="1"/>
          <w:numId w:val="3"/>
        </w:numPr>
        <w:ind w:hanging="0" w:start="0"/>
        <w:rPr/>
      </w:pPr>
      <w:r>
        <w:rPr/>
        <w:t>The Report notes various market factors which have contributed to higher prices.  In particular, the Report notes that the “supply cushion” within Alberta has been eroding over time given the staged-in approach to deregulation in Alberta causing some degree of reluctance on the part of suppliers to invest in a new supply.  The decrease in this “supply cushion” coupled with an increase in demand given the robust Alberta economy, is acknowledged as putting further pressure on the market and reserve margins.  In particular, the Report notes, on pp. 9-10, as follows:</w:t>
      </w:r>
    </w:p>
    <w:p>
      <w:pPr>
        <w:pStyle w:val="Quote"/>
        <w:ind w:start="2160" w:end="720"/>
        <w:rPr/>
      </w:pPr>
      <w:r>
        <w:rPr/>
        <w:t xml:space="preserve">The “supply cushion” within Alberta has been eroding over time.  Uncertainty, associated with the original </w:t>
      </w:r>
      <w:r>
        <w:rPr>
          <w:i/>
        </w:rPr>
        <w:t>Electric Utilities Act</w:t>
      </w:r>
      <w:r>
        <w:rPr/>
        <w:t xml:space="preserve"> (“EUA”), as to the ultimate deregulated industry structure and the staged-in approach to deregulation in Alberta caused to some degree reluctance on the part of suppliers to invest in new supply.  These uncertainties were addressed by amendments to the EUA and new supply is gradually being brought in, but the supply “headroom” that was formerly the case has been absorbed.  The buffer was the result of the regulated approach to building generation – allowing for increments well in advance of demand growth – as well as the large size of thermal plants that were brought on.</w:t>
      </w:r>
    </w:p>
    <w:p>
      <w:pPr>
        <w:pStyle w:val="Quote"/>
        <w:ind w:start="2160" w:end="720"/>
        <w:rPr/>
      </w:pPr>
      <w:r>
        <w:rPr/>
        <w:t>. . . The stresses on the supply have been more acute since demand has been growing steadily through a robust Alberta economy.  Peak loads have exceeded 7,000 MW on numerous occasions, putting further pressure on the market and reserve margins.</w:t>
      </w:r>
    </w:p>
    <w:p>
      <w:pPr>
        <w:pStyle w:val="Standard2L2"/>
        <w:numPr>
          <w:ilvl w:val="1"/>
          <w:numId w:val="3"/>
        </w:numPr>
        <w:ind w:hanging="0" w:start="0"/>
        <w:rPr/>
      </w:pPr>
      <w:r>
        <w:rPr/>
        <w:t>The Report also notes, at pp. 16-17, that a number of detailed and complicated steps must be undertaken “prior to effective rule design or enforcement with respect to exercise of market power”.  Without detailing those issues in detail, the commentary which follows demonstrates the emerging and volatile nature of the market which will lend assistance to Enron Canada’s position that the impugned activity was consistent with an evolving market.</w:t>
      </w:r>
    </w:p>
    <w:p>
      <w:pPr>
        <w:pStyle w:val="Standard2L2"/>
        <w:numPr>
          <w:ilvl w:val="1"/>
          <w:numId w:val="3"/>
        </w:numPr>
        <w:ind w:hanging="0" w:start="0"/>
        <w:rPr/>
      </w:pPr>
      <w:r>
        <w:rPr/>
        <w:t>The Report, in general, identifies a confluence of factors which have acted to increase market prices which, in addition to those excerpts listed above, provide ample evidence that numerous legitimate market forces have contributed to an overall increase in electricity prices.</w:t>
      </w:r>
    </w:p>
    <w:p>
      <w:pPr>
        <w:pStyle w:val="NumContinue"/>
        <w:rPr/>
      </w:pPr>
      <w:r>
        <w:rPr/>
        <w:t>Having regard to the foregoing, the Report certainly lends support to many of the positions which will be advanced by Enron Canada and, given its source, will be presumably viewed by the Competition Bureau as a credible and legitimate source for many of the propositions being advanced.  It should clearly be appended as an exhibit to the written material being submitted to the Competition Bureau.</w:t>
      </w:r>
    </w:p>
    <w:p>
      <w:pPr>
        <w:pStyle w:val="NumContinue"/>
        <w:rPr/>
      </w:pPr>
      <w:r>
        <w:rPr/>
      </w:r>
    </w:p>
    <w:p>
      <w:pPr>
        <w:pStyle w:val="NumContinue"/>
        <w:spacing w:before="0" w:after="240"/>
        <w:rPr/>
      </w:pPr>
      <w:r>
        <w:rPr/>
        <w:tab/>
        <w:tab/>
        <w:t>D.W.M.</w:t>
      </w:r>
    </w:p>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30340546.1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30340546.1</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page">
                <wp:posOffset>6456045</wp:posOffset>
              </wp:positionH>
              <wp:positionV relativeFrom="page">
                <wp:posOffset>969645</wp:posOffset>
              </wp:positionV>
              <wp:extent cx="410845" cy="175260"/>
              <wp:effectExtent l="0" t="0" r="0" b="0"/>
              <wp:wrapSquare wrapText="bothSides"/>
              <wp:docPr id="4" name="Frame3"/>
              <a:graphic xmlns:a="http://schemas.openxmlformats.org/drawingml/2006/main">
                <a:graphicData uri="http://schemas.microsoft.com/office/word/2010/wordprocessingShape">
                  <wps:wsp>
                    <wps:cNvSpPr txBox="1"/>
                    <wps:spPr>
                      <a:xfrm>
                        <a:off x="0" y="0"/>
                        <a:ext cx="410845" cy="175260"/>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2.35pt;height:13.8pt;mso-wrap-distance-left:0pt;mso-wrap-distance-right:0pt;mso-wrap-distance-top:0pt;mso-wrap-distance-bottom:0pt;margin-top:76.3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Standard2"/>
    <w:docVar w:name="zzmpFixedCurScheme" w:val="Standard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lang w:val="en-CA"/>
    </w:rPr>
  </w:style>
  <w:style w:type="paragraph" w:styleId="Heading2">
    <w:name w:val="heading 2"/>
    <w:basedOn w:val="Normal"/>
    <w:next w:val="BodyText"/>
    <w:qFormat/>
    <w:pPr>
      <w:keepNext w:val="true"/>
      <w:numPr>
        <w:ilvl w:val="1"/>
        <w:numId w:val="1"/>
      </w:numPr>
      <w:spacing w:before="240" w:after="60"/>
      <w:outlineLvl w:val="1"/>
    </w:pPr>
    <w:rPr>
      <w:b/>
      <w:i/>
      <w:lang w:val="en-CA"/>
    </w:rPr>
  </w:style>
  <w:style w:type="paragraph" w:styleId="Heading3">
    <w:name w:val="heading 3"/>
    <w:basedOn w:val="Normal"/>
    <w:next w:val="BodyText"/>
    <w:qFormat/>
    <w:pPr>
      <w:numPr>
        <w:ilvl w:val="2"/>
        <w:numId w:val="1"/>
      </w:numPr>
      <w:spacing w:before="240" w:after="60"/>
      <w:outlineLvl w:val="2"/>
    </w:pPr>
    <w:rPr>
      <w:lang w:val="en-CA"/>
    </w:rPr>
  </w:style>
  <w:style w:type="paragraph" w:styleId="Heading4">
    <w:name w:val="heading 4"/>
    <w:basedOn w:val="Normal"/>
    <w:next w:val="BodyText"/>
    <w:qFormat/>
    <w:pPr>
      <w:numPr>
        <w:ilvl w:val="3"/>
        <w:numId w:val="1"/>
      </w:numPr>
      <w:spacing w:before="240" w:after="60"/>
      <w:outlineLvl w:val="3"/>
    </w:pPr>
    <w:rPr>
      <w:b/>
      <w:lang w:val="en-CA"/>
    </w:rPr>
  </w:style>
  <w:style w:type="paragraph" w:styleId="Heading5">
    <w:name w:val="heading 5"/>
    <w:basedOn w:val="Normal"/>
    <w:next w:val="BodyText"/>
    <w:qFormat/>
    <w:pPr>
      <w:numPr>
        <w:ilvl w:val="4"/>
        <w:numId w:val="1"/>
      </w:numPr>
      <w:spacing w:before="240" w:after="60"/>
      <w:outlineLvl w:val="4"/>
    </w:pPr>
    <w:rPr>
      <w:sz w:val="22"/>
      <w:lang w:val="en-CA"/>
    </w:rPr>
  </w:style>
  <w:style w:type="paragraph" w:styleId="Heading6">
    <w:name w:val="heading 6"/>
    <w:basedOn w:val="Normal"/>
    <w:next w:val="BodyText"/>
    <w:qFormat/>
    <w:pPr>
      <w:numPr>
        <w:ilvl w:val="5"/>
        <w:numId w:val="1"/>
      </w:numPr>
      <w:spacing w:before="240" w:after="60"/>
      <w:outlineLvl w:val="5"/>
    </w:pPr>
    <w:rPr>
      <w:i/>
      <w:sz w:val="22"/>
      <w:lang w:val="en-CA"/>
    </w:rPr>
  </w:style>
  <w:style w:type="paragraph" w:styleId="Heading7">
    <w:name w:val="heading 7"/>
    <w:basedOn w:val="Normal"/>
    <w:next w:val="BodyText"/>
    <w:qFormat/>
    <w:pPr>
      <w:numPr>
        <w:ilvl w:val="6"/>
        <w:numId w:val="1"/>
      </w:numPr>
      <w:spacing w:before="240" w:after="60"/>
      <w:outlineLvl w:val="6"/>
    </w:pPr>
    <w:rPr>
      <w:lang w:val="en-CA"/>
    </w:rPr>
  </w:style>
  <w:style w:type="paragraph" w:styleId="Heading8">
    <w:name w:val="heading 8"/>
    <w:basedOn w:val="Normal"/>
    <w:next w:val="BodyText"/>
    <w:qFormat/>
    <w:pPr>
      <w:numPr>
        <w:ilvl w:val="7"/>
        <w:numId w:val="1"/>
      </w:numPr>
      <w:spacing w:before="240" w:after="60"/>
      <w:outlineLvl w:val="7"/>
    </w:pPr>
    <w:rPr>
      <w:i/>
      <w:lang w:val="en-CA"/>
    </w:rPr>
  </w:style>
  <w:style w:type="paragraph" w:styleId="Heading9">
    <w:name w:val="heading 9"/>
    <w:basedOn w:val="Normal"/>
    <w:next w:val="BodyText"/>
    <w:qFormat/>
    <w:pPr>
      <w:numPr>
        <w:ilvl w:val="8"/>
        <w:numId w:val="1"/>
      </w:numPr>
      <w:spacing w:before="240" w:after="60"/>
      <w:outlineLvl w:val="8"/>
    </w:pPr>
    <w:rPr>
      <w:b/>
      <w:i/>
      <w:sz w:val="18"/>
      <w:lang w:val="en-CA"/>
    </w:rPr>
  </w:style>
  <w:style w:type="character" w:styleId="WW8Num1z0">
    <w:name w:val="WW8Num1z0"/>
    <w:qFormat/>
    <w:rPr>
      <w:rFonts w:ascii="Symbol" w:hAnsi="Symbol" w:cs="Symbol"/>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NumContinue">
    <w:name w:val="Num Continue"/>
    <w:basedOn w:val="BodyText"/>
    <w:qFormat/>
    <w:pPr>
      <w:suppressAutoHyphens w:val="true"/>
      <w:jc w:val="both"/>
    </w:pPr>
    <w:rPr/>
  </w:style>
  <w:style w:type="paragraph" w:styleId="Standard2L1">
    <w:name w:val="Standard2_L1"/>
    <w:basedOn w:val="Normal"/>
    <w:next w:val="NumContinue"/>
    <w:qFormat/>
    <w:pPr>
      <w:numPr>
        <w:ilvl w:val="0"/>
        <w:numId w:val="3"/>
      </w:numPr>
      <w:spacing w:before="0" w:after="240"/>
      <w:jc w:val="both"/>
      <w:outlineLvl w:val="0"/>
    </w:pPr>
    <w:rPr>
      <w:lang w:val="en-US"/>
    </w:rPr>
  </w:style>
  <w:style w:type="paragraph" w:styleId="Standard2L2">
    <w:name w:val="Standard2_L2"/>
    <w:basedOn w:val="Standard2L1"/>
    <w:next w:val="NumContinue"/>
    <w:qFormat/>
    <w:pPr>
      <w:numPr>
        <w:ilvl w:val="0"/>
        <w:numId w:val="3"/>
      </w:numPr>
      <w:outlineLvl w:val="1"/>
    </w:pPr>
    <w:rPr/>
  </w:style>
  <w:style w:type="paragraph" w:styleId="Standard2L3">
    <w:name w:val="Standard2_L3"/>
    <w:basedOn w:val="Standard2L2"/>
    <w:next w:val="NumContinue"/>
    <w:qFormat/>
    <w:pPr>
      <w:numPr>
        <w:ilvl w:val="0"/>
        <w:numId w:val="3"/>
      </w:numPr>
      <w:outlineLvl w:val="2"/>
    </w:pPr>
    <w:rPr/>
  </w:style>
  <w:style w:type="paragraph" w:styleId="Standard2L4">
    <w:name w:val="Standard2_L4"/>
    <w:basedOn w:val="Standard2L3"/>
    <w:next w:val="NumContinue"/>
    <w:qFormat/>
    <w:pPr>
      <w:numPr>
        <w:ilvl w:val="0"/>
        <w:numId w:val="3"/>
      </w:numPr>
      <w:outlineLvl w:val="3"/>
    </w:pPr>
    <w:rPr/>
  </w:style>
  <w:style w:type="paragraph" w:styleId="Standard2L5">
    <w:name w:val="Standard2_L5"/>
    <w:basedOn w:val="Standard2L4"/>
    <w:next w:val="NumContinue"/>
    <w:qFormat/>
    <w:pPr>
      <w:numPr>
        <w:ilvl w:val="0"/>
        <w:numId w:val="3"/>
      </w:numPr>
      <w:outlineLvl w:val="4"/>
    </w:pPr>
    <w:rPr/>
  </w:style>
  <w:style w:type="paragraph" w:styleId="Standard2L6">
    <w:name w:val="Standard2_L6"/>
    <w:basedOn w:val="Standard2L5"/>
    <w:next w:val="NumContinue"/>
    <w:qFormat/>
    <w:pPr>
      <w:numPr>
        <w:ilvl w:val="0"/>
        <w:numId w:val="3"/>
      </w:numPr>
      <w:outlineLvl w:val="5"/>
    </w:pPr>
    <w:rPr/>
  </w:style>
  <w:style w:type="paragraph" w:styleId="Standard2L7">
    <w:name w:val="Standard2_L7"/>
    <w:basedOn w:val="Standard2L6"/>
    <w:next w:val="NumContinue"/>
    <w:qFormat/>
    <w:pPr>
      <w:numPr>
        <w:ilvl w:val="0"/>
        <w:numId w:val="3"/>
      </w:numPr>
      <w:outlineLvl w:val="6"/>
    </w:pPr>
    <w:rPr/>
  </w:style>
  <w:style w:type="paragraph" w:styleId="Standard2L8">
    <w:name w:val="Standard2_L8"/>
    <w:basedOn w:val="Standard2L7"/>
    <w:next w:val="NumContinue"/>
    <w:qFormat/>
    <w:pPr>
      <w:numPr>
        <w:ilvl w:val="0"/>
        <w:numId w:val="3"/>
      </w:numPr>
      <w:outlineLvl w:val="7"/>
    </w:pPr>
    <w:rPr/>
  </w:style>
  <w:style w:type="paragraph" w:styleId="Standard2L9">
    <w:name w:val="Standard2_L9"/>
    <w:basedOn w:val="Standard2L8"/>
    <w:next w:val="NumContinue"/>
    <w:qFormat/>
    <w:pPr>
      <w:numPr>
        <w:ilvl w:val="0"/>
        <w:numId w:val="3"/>
      </w:numPr>
      <w:outlineLvl w:val="8"/>
    </w:pPr>
    <w:rPr/>
  </w:style>
  <w:style w:type="paragraph" w:styleId="cite1">
    <w:name w:val="cite1"/>
    <w:basedOn w:val="Normal"/>
    <w:qFormat/>
    <w:pPr>
      <w:numPr>
        <w:ilvl w:val="0"/>
        <w:numId w:val="2"/>
      </w:numPr>
      <w:jc w:val="both"/>
    </w:pPr>
    <w:rPr>
      <w:sz w:val="20"/>
    </w:rPr>
  </w:style>
  <w:style w:type="paragraph" w:styleId="cite2">
    <w:name w:val="cite2"/>
    <w:basedOn w:val="Normal"/>
    <w:qFormat/>
    <w:pPr>
      <w:numPr>
        <w:ilvl w:val="0"/>
        <w:numId w:val="4"/>
      </w:numPr>
      <w:jc w:val="both"/>
    </w:pPr>
    <w:rPr>
      <w:sz w:val="20"/>
    </w:rPr>
  </w:style>
  <w:style w:type="paragraph" w:styleId="Quote">
    <w:name w:val="Quote"/>
    <w:basedOn w:val="Normal"/>
    <w:qFormat/>
    <w:pPr>
      <w:suppressAutoHyphens w:val="true"/>
      <w:spacing w:before="0" w:after="240"/>
      <w:ind w:hanging="0" w:start="720" w:end="720"/>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2000-11-03T12:49:00Z</dcterms:created>
  <dc:creator>pmg</dc:creator>
  <dc:description/>
  <dc:language>en-CA</dc:language>
  <cp:lastModifiedBy>pmg</cp:lastModifiedBy>
  <cp:lastPrinted>2000-11-03T09:57:00Z</cp:lastPrinted>
  <dcterms:modified xsi:type="dcterms:W3CDTF">2000-11-03T15:54:00Z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30340546.1</vt:lpwstr>
  </property>
</Properties>
</file>