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notes.xml" ContentType="application/vnd.openxmlformats-officedocument.wordprocessingml.footnotes+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document.xml" ContentType="application/vnd.openxmlformats-officedocument.wordprocessingml.document.main+xml"/>
  <Override PartName="/word/embeddings/oleObject1.pptx" ContentType="application/vnd.openxmlformats-officedocument.presentationml.presentation"/>
  <Override PartName="/word/embeddings/oleObject2.pptx" ContentType="application/vnd.openxmlformats-officedocument.presentationml.presentation"/>
  <Override PartName="/word/media/image1.wmf" ContentType="image/x-wmf"/>
  <Override PartName="/word/media/image2.wmf" ContentType="image/x-wmf"/>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b/>
        </w:rPr>
      </w:pPr>
      <w:r>
        <w:rPr>
          <w:b/>
        </w:rPr>
        <w:t>UNITED STATES OF AMERICA</w:t>
      </w:r>
    </w:p>
    <w:p>
      <w:pPr>
        <w:pStyle w:val="Normal"/>
        <w:spacing w:lineRule="auto" w:line="240" w:before="0" w:after="0"/>
        <w:jc w:val="center"/>
        <w:rPr>
          <w:b/>
        </w:rPr>
      </w:pPr>
      <w:r>
        <w:rPr>
          <w:b/>
        </w:rPr>
        <w:t>BEFORE THE</w:t>
      </w:r>
    </w:p>
    <w:p>
      <w:pPr>
        <w:pStyle w:val="Normal"/>
        <w:spacing w:lineRule="auto" w:line="240" w:before="0" w:after="0"/>
        <w:jc w:val="center"/>
        <w:rPr>
          <w:b/>
        </w:rPr>
      </w:pPr>
      <w:r>
        <w:rPr>
          <w:b/>
        </w:rPr>
        <w:t>FEDERAL ENERGY REGULATORY COMMISSION</w:t>
      </w:r>
    </w:p>
    <w:p>
      <w:pPr>
        <w:pStyle w:val="Normal"/>
        <w:spacing w:lineRule="auto" w:line="240" w:before="0" w:after="0"/>
        <w:rPr>
          <w:b/>
        </w:rPr>
      </w:pPr>
      <w:r>
        <w:rPr>
          <w:b/>
        </w:rPr>
      </w:r>
    </w:p>
    <w:p>
      <w:pPr>
        <w:pStyle w:val="Normal"/>
        <w:spacing w:lineRule="auto" w:line="240" w:before="0" w:after="0"/>
        <w:rPr/>
      </w:pPr>
      <w:r>
        <w:rPr/>
      </w:r>
    </w:p>
    <w:p>
      <w:pPr>
        <w:pStyle w:val="Normal"/>
        <w:spacing w:lineRule="auto" w:line="240" w:before="0" w:after="0"/>
        <w:rPr>
          <w:b/>
        </w:rPr>
      </w:pPr>
      <w:r>
        <w:rPr>
          <w:b/>
        </w:rPr>
        <w:tab/>
        <w:tab/>
        <w:tab/>
        <w:tab/>
        <w:tab/>
        <w:tab/>
        <w:t>)</w:t>
      </w:r>
    </w:p>
    <w:p>
      <w:pPr>
        <w:pStyle w:val="Normal"/>
        <w:spacing w:lineRule="auto" w:line="240" w:before="0" w:after="0"/>
        <w:rPr>
          <w:b/>
        </w:rPr>
      </w:pPr>
      <w:r>
        <w:rPr>
          <w:b/>
        </w:rPr>
        <w:t>Ensuring Sufficient Capacity Reserves</w:t>
        <w:tab/>
        <w:t>)            Docket No. EX01-1</w:t>
      </w:r>
    </w:p>
    <w:p>
      <w:pPr>
        <w:pStyle w:val="Normal"/>
        <w:spacing w:lineRule="auto" w:line="240" w:before="0" w:after="0"/>
        <w:rPr>
          <w:b/>
        </w:rPr>
      </w:pPr>
      <w:r>
        <w:rPr>
          <w:b/>
        </w:rPr>
        <w:tab/>
        <w:t>In Today’s Energy Markets</w:t>
        <w:tab/>
        <w:tab/>
        <w:t>)</w:t>
      </w:r>
    </w:p>
    <w:p>
      <w:pPr>
        <w:pStyle w:val="Normal"/>
        <w:spacing w:lineRule="auto" w:line="240" w:before="0" w:after="0"/>
        <w:rPr>
          <w:b/>
        </w:rPr>
      </w:pPr>
      <w:r>
        <w:rPr>
          <w:b/>
        </w:rPr>
      </w:r>
    </w:p>
    <w:p>
      <w:pPr>
        <w:pStyle w:val="Normal"/>
        <w:spacing w:lineRule="auto" w:line="240" w:before="0" w:after="0"/>
        <w:rPr>
          <w:b/>
        </w:rPr>
      </w:pPr>
      <w:r>
        <w:rPr>
          <w:b/>
        </w:rPr>
      </w:r>
    </w:p>
    <w:p>
      <w:pPr>
        <w:pStyle w:val="Normal"/>
        <w:jc w:val="center"/>
        <w:rPr>
          <w:b/>
          <w:sz w:val="28"/>
        </w:rPr>
      </w:pPr>
      <w:r>
        <w:rPr>
          <w:b/>
          <w:sz w:val="28"/>
        </w:rPr>
        <w:t>AFFIDAVIT  OF  LARRY  E.  RUFF</w:t>
      </w:r>
    </w:p>
    <w:p>
      <w:pPr>
        <w:pStyle w:val="Normal"/>
        <w:spacing w:lineRule="auto" w:line="240" w:before="0" w:after="0"/>
        <w:jc w:val="center"/>
        <w:rPr>
          <w:b/>
          <w:sz w:val="28"/>
        </w:rPr>
      </w:pPr>
      <w:r>
        <w:rPr>
          <w:b/>
          <w:sz w:val="28"/>
        </w:rPr>
      </w:r>
    </w:p>
    <w:p>
      <w:pPr>
        <w:pStyle w:val="Normal"/>
        <w:spacing w:lineRule="auto" w:line="240" w:before="0" w:after="0"/>
        <w:jc w:val="center"/>
        <w:rPr>
          <w:b/>
          <w:sz w:val="28"/>
        </w:rPr>
      </w:pPr>
      <w:r>
        <w:rPr>
          <w:b/>
          <w:sz w:val="28"/>
        </w:rPr>
        <w:t>Contents</w:t>
      </w:r>
    </w:p>
    <w:p>
      <w:pPr>
        <w:pStyle w:val="Normal"/>
        <w:spacing w:lineRule="auto" w:line="240" w:before="0" w:after="0"/>
        <w:rPr>
          <w:b/>
          <w:sz w:val="28"/>
        </w:rPr>
      </w:pPr>
      <w:r>
        <w:rPr>
          <w:b/>
          <w:sz w:val="28"/>
        </w:rPr>
      </w:r>
    </w:p>
    <w:sdt>
      <w:sdtPr>
        <w:docPartObj>
          <w:docPartGallery w:val="Table of Contents"/>
          <w:docPartUnique w:val="true"/>
        </w:docPartObj>
      </w:sdtPr>
      <w:sdtContent>
        <w:p>
          <w:pPr>
            <w:pStyle w:val="TOC1"/>
            <w:tabs>
              <w:tab w:val="left" w:pos="360" w:leader="none"/>
              <w:tab w:val="left" w:pos="576" w:leader="none"/>
              <w:tab w:val="right" w:pos="9000" w:leader="dot"/>
            </w:tabs>
            <w:rPr>
              <w:szCs w:val="24"/>
            </w:rPr>
          </w:pPr>
          <w:r>
            <w:fldChar w:fldCharType="begin"/>
          </w:r>
          <w:r>
            <w:rPr>
              <w:rStyle w:val="IndexLink"/>
            </w:rPr>
            <w:instrText xml:space="preserve"> TOC \o "1-3" \h \z </w:instrText>
          </w:r>
          <w:r>
            <w:rPr>
              <w:rStyle w:val="IndexLink"/>
            </w:rPr>
            <w:fldChar w:fldCharType="separate"/>
          </w:r>
          <w:hyperlink w:anchor="__RefHeading___Toc527933278">
            <w:r>
              <w:rPr>
                <w:rStyle w:val="IndexLink"/>
              </w:rPr>
              <w:t>1.</w:t>
            </w:r>
            <w:r>
              <w:rPr>
                <w:rStyle w:val="IndexLink"/>
                <w:szCs w:val="24"/>
              </w:rPr>
              <w:tab/>
            </w:r>
            <w:r>
              <w:rPr>
                <w:rStyle w:val="IndexLink"/>
              </w:rPr>
              <w:t>INTRODUCTION</w:t>
              <w:tab/>
              <w:t>1</w:t>
            </w:r>
          </w:hyperlink>
        </w:p>
        <w:p>
          <w:pPr>
            <w:pStyle w:val="TOC2"/>
            <w:tabs>
              <w:tab w:val="left" w:pos="720" w:leader="none"/>
              <w:tab w:val="left" w:pos="960" w:leader="none"/>
              <w:tab w:val="right" w:pos="8990" w:leader="dot"/>
            </w:tabs>
            <w:rPr/>
          </w:pPr>
          <w:hyperlink w:anchor="__RefHeading___Toc527933279">
            <w:r>
              <w:rPr>
                <w:rStyle w:val="IndexLink"/>
              </w:rPr>
              <w:t>1.1</w:t>
              <w:tab/>
              <w:t>Background</w:t>
              <w:tab/>
              <w:t>1</w:t>
            </w:r>
          </w:hyperlink>
        </w:p>
        <w:p>
          <w:pPr>
            <w:pStyle w:val="TOC2"/>
            <w:tabs>
              <w:tab w:val="left" w:pos="720" w:leader="none"/>
              <w:tab w:val="left" w:pos="960" w:leader="none"/>
              <w:tab w:val="right" w:pos="8990" w:leader="dot"/>
            </w:tabs>
            <w:rPr/>
          </w:pPr>
          <w:hyperlink w:anchor="__RefHeading___Toc527933280">
            <w:r>
              <w:rPr>
                <w:rStyle w:val="IndexLink"/>
              </w:rPr>
              <w:t>1.2</w:t>
              <w:tab/>
              <w:t>Purpose and Summary</w:t>
              <w:tab/>
              <w:t>2</w:t>
            </w:r>
          </w:hyperlink>
        </w:p>
        <w:p>
          <w:pPr>
            <w:pStyle w:val="TOC2"/>
            <w:tabs>
              <w:tab w:val="left" w:pos="720" w:leader="none"/>
              <w:tab w:val="left" w:pos="960" w:leader="none"/>
              <w:tab w:val="right" w:pos="8990" w:leader="dot"/>
            </w:tabs>
            <w:rPr/>
          </w:pPr>
          <w:hyperlink w:anchor="__RefHeading___Toc527933281">
            <w:r>
              <w:rPr>
                <w:rStyle w:val="IndexLink"/>
              </w:rPr>
              <w:t>1.3</w:t>
              <w:tab/>
              <w:t>Organization of This Affidavit</w:t>
              <w:tab/>
              <w:t>4</w:t>
            </w:r>
          </w:hyperlink>
        </w:p>
        <w:p>
          <w:pPr>
            <w:pStyle w:val="TOC1"/>
            <w:tabs>
              <w:tab w:val="left" w:pos="360" w:leader="none"/>
              <w:tab w:val="left" w:pos="576" w:leader="none"/>
              <w:tab w:val="right" w:pos="9000" w:leader="dot"/>
            </w:tabs>
            <w:rPr>
              <w:szCs w:val="24"/>
            </w:rPr>
          </w:pPr>
          <w:hyperlink w:anchor="__RefHeading___Toc527933282">
            <w:r>
              <w:rPr>
                <w:rStyle w:val="IndexLink"/>
              </w:rPr>
              <w:t>2.</w:t>
            </w:r>
            <w:r>
              <w:rPr>
                <w:rStyle w:val="IndexLink"/>
                <w:szCs w:val="24"/>
              </w:rPr>
              <w:tab/>
            </w:r>
            <w:r>
              <w:rPr>
                <w:rStyle w:val="IndexLink"/>
              </w:rPr>
              <w:t>THE  CONCEPT  OF  “CAPACITY”</w:t>
              <w:tab/>
              <w:t>4</w:t>
            </w:r>
          </w:hyperlink>
        </w:p>
        <w:p>
          <w:pPr>
            <w:pStyle w:val="TOC2"/>
            <w:tabs>
              <w:tab w:val="left" w:pos="720" w:leader="none"/>
              <w:tab w:val="left" w:pos="960" w:leader="none"/>
              <w:tab w:val="right" w:pos="8990" w:leader="dot"/>
            </w:tabs>
            <w:rPr/>
          </w:pPr>
          <w:hyperlink w:anchor="__RefHeading___Toc527933283">
            <w:r>
              <w:rPr>
                <w:rStyle w:val="IndexLink"/>
              </w:rPr>
              <w:t>2.1</w:t>
              <w:tab/>
              <w:t>“Capacity” Played a Useful Role in Monopoly Utility Systems</w:t>
              <w:tab/>
              <w:t>4</w:t>
            </w:r>
          </w:hyperlink>
        </w:p>
        <w:p>
          <w:pPr>
            <w:pStyle w:val="TOC3"/>
            <w:tabs>
              <w:tab w:val="left" w:pos="1152" w:leader="none"/>
              <w:tab w:val="left" w:pos="1440" w:leader="none"/>
              <w:tab w:val="right" w:pos="8986" w:leader="dot"/>
            </w:tabs>
            <w:rPr>
              <w:szCs w:val="24"/>
            </w:rPr>
          </w:pPr>
          <w:hyperlink w:anchor="__RefHeading___Toc527933284">
            <w:r>
              <w:rPr>
                <w:rStyle w:val="IndexLink"/>
              </w:rPr>
              <w:t>2.1.1</w:t>
            </w:r>
            <w:r>
              <w:rPr>
                <w:rStyle w:val="IndexLink"/>
                <w:szCs w:val="24"/>
              </w:rPr>
              <w:tab/>
            </w:r>
            <w:r>
              <w:rPr>
                <w:rStyle w:val="IndexLink"/>
              </w:rPr>
              <w:t>A Monopoly Pool is Not a Market</w:t>
              <w:tab/>
              <w:t>5</w:t>
            </w:r>
          </w:hyperlink>
        </w:p>
        <w:p>
          <w:pPr>
            <w:pStyle w:val="TOC3"/>
            <w:tabs>
              <w:tab w:val="left" w:pos="1152" w:leader="none"/>
              <w:tab w:val="left" w:pos="1440" w:leader="none"/>
              <w:tab w:val="right" w:pos="8986" w:leader="dot"/>
            </w:tabs>
            <w:rPr>
              <w:szCs w:val="24"/>
            </w:rPr>
          </w:pPr>
          <w:hyperlink w:anchor="__RefHeading___Toc527933285">
            <w:r>
              <w:rPr>
                <w:rStyle w:val="IndexLink"/>
              </w:rPr>
              <w:t>2.1.2</w:t>
            </w:r>
            <w:r>
              <w:rPr>
                <w:rStyle w:val="IndexLink"/>
                <w:szCs w:val="24"/>
              </w:rPr>
              <w:tab/>
            </w:r>
            <w:r>
              <w:rPr>
                <w:rStyle w:val="IndexLink"/>
              </w:rPr>
              <w:t>The “Value of Capacity” Is NOT (Usually) the “Cost of a Peaker”</w:t>
              <w:tab/>
              <w:t>6</w:t>
            </w:r>
          </w:hyperlink>
        </w:p>
        <w:p>
          <w:pPr>
            <w:pStyle w:val="TOC2"/>
            <w:tabs>
              <w:tab w:val="left" w:pos="720" w:leader="none"/>
              <w:tab w:val="left" w:pos="960" w:leader="none"/>
              <w:tab w:val="right" w:pos="8990" w:leader="dot"/>
            </w:tabs>
            <w:rPr/>
          </w:pPr>
          <w:hyperlink w:anchor="__RefHeading___Toc527933286">
            <w:r>
              <w:rPr>
                <w:rStyle w:val="IndexLink"/>
              </w:rPr>
              <w:t>2.2</w:t>
              <w:tab/>
              <w:t>“Capacity” Is Not a Logical Concept in a Competitive Market</w:t>
              <w:tab/>
              <w:t>8</w:t>
            </w:r>
          </w:hyperlink>
        </w:p>
        <w:p>
          <w:pPr>
            <w:pStyle w:val="TOC3"/>
            <w:tabs>
              <w:tab w:val="left" w:pos="1152" w:leader="none"/>
              <w:tab w:val="left" w:pos="1440" w:leader="none"/>
              <w:tab w:val="right" w:pos="8986" w:leader="dot"/>
            </w:tabs>
            <w:rPr>
              <w:szCs w:val="24"/>
            </w:rPr>
          </w:pPr>
          <w:hyperlink w:anchor="__RefHeading___Toc527933287">
            <w:r>
              <w:rPr>
                <w:rStyle w:val="IndexLink"/>
              </w:rPr>
              <w:t>2.2.1</w:t>
            </w:r>
            <w:r>
              <w:rPr>
                <w:rStyle w:val="IndexLink"/>
                <w:szCs w:val="24"/>
              </w:rPr>
              <w:tab/>
            </w:r>
            <w:r>
              <w:rPr>
                <w:rStyle w:val="IndexLink"/>
              </w:rPr>
              <w:t>“Capacity” Has No Value Unless E&amp;AS Are Underpriced</w:t>
              <w:tab/>
              <w:t>9</w:t>
            </w:r>
          </w:hyperlink>
        </w:p>
        <w:p>
          <w:pPr>
            <w:pStyle w:val="TOC3"/>
            <w:tabs>
              <w:tab w:val="left" w:pos="1152" w:leader="none"/>
              <w:tab w:val="left" w:pos="1440" w:leader="none"/>
              <w:tab w:val="right" w:pos="8986" w:leader="dot"/>
            </w:tabs>
            <w:rPr>
              <w:szCs w:val="24"/>
            </w:rPr>
          </w:pPr>
          <w:hyperlink w:anchor="__RefHeading___Toc527933288">
            <w:r>
              <w:rPr>
                <w:rStyle w:val="IndexLink"/>
              </w:rPr>
              <w:t>2.2.2</w:t>
            </w:r>
            <w:r>
              <w:rPr>
                <w:rStyle w:val="IndexLink"/>
                <w:szCs w:val="24"/>
              </w:rPr>
              <w:tab/>
            </w:r>
            <w:r>
              <w:rPr>
                <w:rStyle w:val="IndexLink"/>
              </w:rPr>
              <w:t>E&amp;AS Are Not Generally Underpriced in Pool-Based Markets</w:t>
              <w:tab/>
              <w:t>12</w:t>
            </w:r>
          </w:hyperlink>
        </w:p>
        <w:p>
          <w:pPr>
            <w:pStyle w:val="TOC1"/>
            <w:tabs>
              <w:tab w:val="left" w:pos="360" w:leader="none"/>
              <w:tab w:val="left" w:pos="576" w:leader="none"/>
              <w:tab w:val="right" w:pos="9000" w:leader="dot"/>
            </w:tabs>
            <w:rPr>
              <w:szCs w:val="24"/>
            </w:rPr>
          </w:pPr>
          <w:hyperlink w:anchor="__RefHeading___Toc527933289">
            <w:r>
              <w:rPr>
                <w:rStyle w:val="IndexLink"/>
              </w:rPr>
              <w:t>3.</w:t>
            </w:r>
            <w:r>
              <w:rPr>
                <w:rStyle w:val="IndexLink"/>
                <w:szCs w:val="24"/>
              </w:rPr>
              <w:tab/>
            </w:r>
            <w:r>
              <w:rPr>
                <w:rStyle w:val="IndexLink"/>
              </w:rPr>
              <w:t>INSTALLED  CAPACITY  OBLIGATIONS</w:t>
              <w:tab/>
              <w:t>13</w:t>
            </w:r>
          </w:hyperlink>
        </w:p>
        <w:p>
          <w:pPr>
            <w:pStyle w:val="TOC2"/>
            <w:tabs>
              <w:tab w:val="left" w:pos="720" w:leader="none"/>
              <w:tab w:val="left" w:pos="960" w:leader="none"/>
              <w:tab w:val="right" w:pos="8990" w:leader="dot"/>
            </w:tabs>
            <w:rPr/>
          </w:pPr>
          <w:hyperlink w:anchor="__RefHeading___Toc527933290">
            <w:r>
              <w:rPr>
                <w:rStyle w:val="IndexLink"/>
              </w:rPr>
              <w:t>3.1</w:t>
              <w:tab/>
              <w:t>ICAP Is Not a Real Product that Provides Real Services</w:t>
              <w:tab/>
              <w:t>13</w:t>
            </w:r>
          </w:hyperlink>
        </w:p>
        <w:p>
          <w:pPr>
            <w:pStyle w:val="TOC2"/>
            <w:tabs>
              <w:tab w:val="left" w:pos="720" w:leader="none"/>
              <w:tab w:val="left" w:pos="960" w:leader="none"/>
              <w:tab w:val="right" w:pos="8990" w:leader="dot"/>
            </w:tabs>
            <w:rPr/>
          </w:pPr>
          <w:hyperlink w:anchor="__RefHeading___Toc527933291">
            <w:r>
              <w:rPr>
                <w:rStyle w:val="IndexLink"/>
              </w:rPr>
              <w:t>3.2</w:t>
              <w:tab/>
              <w:t>An ICAP Obligation Is an Inefficient Tax/Subsidy Arrangement</w:t>
              <w:tab/>
              <w:t>14</w:t>
            </w:r>
          </w:hyperlink>
        </w:p>
        <w:p>
          <w:pPr>
            <w:pStyle w:val="TOC2"/>
            <w:tabs>
              <w:tab w:val="left" w:pos="720" w:leader="none"/>
              <w:tab w:val="left" w:pos="960" w:leader="none"/>
              <w:tab w:val="right" w:pos="8990" w:leader="dot"/>
            </w:tabs>
            <w:rPr/>
          </w:pPr>
          <w:hyperlink w:anchor="__RefHeading___Toc527933292">
            <w:r>
              <w:rPr>
                <w:rStyle w:val="IndexLink"/>
              </w:rPr>
              <w:t>3.3</w:t>
              <w:tab/>
              <w:t>Capacity Obligations Do Little To Improve Reliability</w:t>
              <w:tab/>
              <w:t>16</w:t>
            </w:r>
          </w:hyperlink>
        </w:p>
        <w:p>
          <w:pPr>
            <w:pStyle w:val="TOC2"/>
            <w:tabs>
              <w:tab w:val="left" w:pos="720" w:leader="none"/>
              <w:tab w:val="left" w:pos="960" w:leader="none"/>
              <w:tab w:val="right" w:pos="8990" w:leader="dot"/>
            </w:tabs>
            <w:rPr/>
          </w:pPr>
          <w:hyperlink w:anchor="__RefHeading___Toc527933293">
            <w:r>
              <w:rPr>
                <w:rStyle w:val="IndexLink"/>
              </w:rPr>
              <w:t>3.4</w:t>
              <w:tab/>
              <w:t>Capacity Is (or Should Not Be) a Public Good or Ancillary Service</w:t>
              <w:tab/>
              <w:t>17</w:t>
            </w:r>
          </w:hyperlink>
        </w:p>
        <w:p>
          <w:pPr>
            <w:pStyle w:val="TOC1"/>
            <w:tabs>
              <w:tab w:val="left" w:pos="360" w:leader="none"/>
              <w:tab w:val="left" w:pos="576" w:leader="none"/>
              <w:tab w:val="right" w:pos="9000" w:leader="dot"/>
            </w:tabs>
            <w:rPr>
              <w:szCs w:val="24"/>
            </w:rPr>
          </w:pPr>
          <w:hyperlink w:anchor="__RefHeading___Toc527933294">
            <w:r>
              <w:rPr>
                <w:rStyle w:val="IndexLink"/>
              </w:rPr>
              <w:t>4.</w:t>
            </w:r>
            <w:r>
              <w:rPr>
                <w:rStyle w:val="IndexLink"/>
                <w:szCs w:val="24"/>
              </w:rPr>
              <w:tab/>
            </w:r>
            <w:r>
              <w:rPr>
                <w:rStyle w:val="IndexLink"/>
              </w:rPr>
              <w:t>CONCLUSIONS  AND  RECOMMENDATIONS</w:t>
              <w:tab/>
              <w:t>18</w:t>
            </w:r>
          </w:hyperlink>
        </w:p>
        <w:p>
          <w:pPr>
            <w:pStyle w:val="TOC2"/>
            <w:tabs>
              <w:tab w:val="left" w:pos="720" w:leader="none"/>
              <w:tab w:val="left" w:pos="960" w:leader="none"/>
              <w:tab w:val="right" w:pos="8990" w:leader="dot"/>
            </w:tabs>
            <w:rPr/>
          </w:pPr>
          <w:hyperlink w:anchor="__RefHeading___Toc527933295">
            <w:r>
              <w:rPr>
                <w:rStyle w:val="IndexLink"/>
              </w:rPr>
              <w:t>4.1</w:t>
              <w:tab/>
              <w:t>E&amp;AS Spot Pricing Can and Should Assure Reliability</w:t>
              <w:tab/>
              <w:t>18</w:t>
            </w:r>
          </w:hyperlink>
        </w:p>
        <w:p>
          <w:pPr>
            <w:pStyle w:val="TOC2"/>
            <w:tabs>
              <w:tab w:val="left" w:pos="720" w:leader="none"/>
              <w:tab w:val="left" w:pos="960" w:leader="none"/>
              <w:tab w:val="right" w:pos="8990" w:leader="dot"/>
            </w:tabs>
            <w:rPr/>
          </w:pPr>
          <w:hyperlink w:anchor="__RefHeading___Toc527933296">
            <w:r>
              <w:rPr>
                <w:rStyle w:val="IndexLink"/>
              </w:rPr>
              <w:t>4.2</w:t>
              <w:tab/>
              <w:t>Providing Price Stability Is the Function of Contracts</w:t>
              <w:tab/>
              <w:t>19</w:t>
            </w:r>
          </w:hyperlink>
        </w:p>
        <w:p>
          <w:pPr>
            <w:pStyle w:val="TOC2"/>
            <w:tabs>
              <w:tab w:val="left" w:pos="720" w:leader="none"/>
              <w:tab w:val="left" w:pos="960" w:leader="none"/>
              <w:tab w:val="right" w:pos="8990" w:leader="dot"/>
            </w:tabs>
            <w:rPr/>
          </w:pPr>
          <w:hyperlink w:anchor="__RefHeading___Toc527933297">
            <w:r>
              <w:rPr>
                <w:rStyle w:val="IndexLink"/>
              </w:rPr>
              <w:t>4.3</w:t>
              <w:tab/>
              <w:t>Any Capacity Payments/Obligations Should Be Transitional</w:t>
              <w:tab/>
              <w:t>19</w:t>
            </w:r>
          </w:hyperlink>
          <w:r>
            <w:rPr>
              <w:rStyle w:val="IndexLink"/>
            </w:rPr>
            <w:fldChar w:fldCharType="end"/>
          </w:r>
        </w:p>
      </w:sdtContent>
    </w:sdt>
    <w:p>
      <w:pPr>
        <w:sectPr>
          <w:headerReference w:type="default" r:id="rId2"/>
          <w:headerReference w:type="first" r:id="rId3"/>
          <w:footerReference w:type="default" r:id="rId4"/>
          <w:footerReference w:type="first" r:id="rId5"/>
          <w:type w:val="nextPage"/>
          <w:pgSz w:w="12240" w:h="15840"/>
          <w:pgMar w:left="1800" w:right="1440" w:gutter="0" w:header="720" w:top="1440" w:footer="720" w:bottom="1440"/>
          <w:pgNumType w:fmt="decimal"/>
          <w:formProt w:val="false"/>
          <w:titlePg/>
          <w:textDirection w:val="lrTb"/>
          <w:docGrid w:type="default" w:linePitch="360" w:charSpace="0"/>
        </w:sectPr>
        <w:pStyle w:val="TOC1"/>
        <w:spacing w:lineRule="auto" w:line="240" w:before="0" w:after="0"/>
        <w:rPr>
          <w:b/>
        </w:rPr>
      </w:pPr>
      <w:r>
        <w:rPr>
          <w:b/>
        </w:rPr>
      </w:r>
    </w:p>
    <w:p>
      <w:pPr>
        <w:pStyle w:val="Normal"/>
        <w:spacing w:lineRule="auto" w:line="240" w:before="0" w:after="0"/>
        <w:jc w:val="center"/>
        <w:rPr>
          <w:b/>
        </w:rPr>
      </w:pPr>
      <w:r>
        <w:rPr>
          <w:b/>
        </w:rPr>
        <w:t>UNITED STATES OF AMERICA</w:t>
      </w:r>
    </w:p>
    <w:p>
      <w:pPr>
        <w:pStyle w:val="Normal"/>
        <w:spacing w:lineRule="auto" w:line="240" w:before="0" w:after="0"/>
        <w:jc w:val="center"/>
        <w:rPr>
          <w:b/>
        </w:rPr>
      </w:pPr>
      <w:r>
        <w:rPr>
          <w:b/>
        </w:rPr>
        <w:t>BEFORE THE</w:t>
      </w:r>
    </w:p>
    <w:p>
      <w:pPr>
        <w:pStyle w:val="Normal"/>
        <w:spacing w:lineRule="auto" w:line="240" w:before="0" w:after="0"/>
        <w:jc w:val="center"/>
        <w:rPr>
          <w:b/>
        </w:rPr>
      </w:pPr>
      <w:r>
        <w:rPr>
          <w:b/>
        </w:rPr>
        <w:t>FEDERAL ENERGY REGULATORY COMMISSION</w:t>
      </w:r>
    </w:p>
    <w:p>
      <w:pPr>
        <w:pStyle w:val="Normal"/>
        <w:spacing w:lineRule="auto" w:line="240" w:before="0" w:after="0"/>
        <w:rPr>
          <w:b/>
        </w:rPr>
      </w:pPr>
      <w:r>
        <w:rPr>
          <w:b/>
        </w:rPr>
      </w:r>
    </w:p>
    <w:p>
      <w:pPr>
        <w:pStyle w:val="Normal"/>
        <w:spacing w:lineRule="auto" w:line="240" w:before="0" w:after="0"/>
        <w:rPr/>
      </w:pPr>
      <w:r>
        <w:rPr/>
      </w:r>
    </w:p>
    <w:p>
      <w:pPr>
        <w:pStyle w:val="Normal"/>
        <w:spacing w:lineRule="auto" w:line="240" w:before="0" w:after="0"/>
        <w:rPr>
          <w:b/>
        </w:rPr>
      </w:pPr>
      <w:r>
        <w:rPr>
          <w:b/>
        </w:rPr>
        <w:tab/>
        <w:tab/>
        <w:tab/>
        <w:tab/>
        <w:tab/>
        <w:tab/>
        <w:t>)</w:t>
      </w:r>
    </w:p>
    <w:p>
      <w:pPr>
        <w:pStyle w:val="Normal"/>
        <w:spacing w:lineRule="auto" w:line="240" w:before="0" w:after="0"/>
        <w:rPr>
          <w:b/>
        </w:rPr>
      </w:pPr>
      <w:r>
        <w:rPr>
          <w:b/>
        </w:rPr>
        <w:t>Ensuring Sufficient Capacity Reserves</w:t>
        <w:tab/>
        <w:t>)            Docket No. EX01-1</w:t>
      </w:r>
    </w:p>
    <w:p>
      <w:pPr>
        <w:pStyle w:val="Normal"/>
        <w:spacing w:lineRule="auto" w:line="240" w:before="0" w:after="0"/>
        <w:rPr>
          <w:b/>
        </w:rPr>
      </w:pPr>
      <w:r>
        <w:rPr>
          <w:b/>
        </w:rPr>
        <w:tab/>
        <w:t>In Today’s Energy Markets</w:t>
        <w:tab/>
        <w:tab/>
        <w:t>)</w:t>
      </w:r>
    </w:p>
    <w:p>
      <w:pPr>
        <w:pStyle w:val="Normal"/>
        <w:spacing w:lineRule="auto" w:line="240" w:before="0" w:after="0"/>
        <w:rPr>
          <w:b/>
        </w:rPr>
      </w:pPr>
      <w:r>
        <w:rPr>
          <w:b/>
        </w:rPr>
      </w:r>
    </w:p>
    <w:p>
      <w:pPr>
        <w:pStyle w:val="Normal"/>
        <w:spacing w:lineRule="auto" w:line="240" w:before="0" w:after="0"/>
        <w:rPr>
          <w:b/>
        </w:rPr>
      </w:pPr>
      <w:r>
        <w:rPr>
          <w:b/>
        </w:rPr>
      </w:r>
    </w:p>
    <w:p>
      <w:pPr>
        <w:pStyle w:val="Normal"/>
        <w:jc w:val="center"/>
        <w:rPr>
          <w:b/>
          <w:sz w:val="28"/>
        </w:rPr>
      </w:pPr>
      <w:r>
        <w:rPr>
          <w:b/>
          <w:sz w:val="28"/>
        </w:rPr>
        <w:t>AFFIDAVIT  OF  LARRY  E.  RUFF</w:t>
      </w:r>
    </w:p>
    <w:p>
      <w:pPr>
        <w:pStyle w:val="Normal"/>
        <w:rPr/>
      </w:pPr>
      <w:r>
        <w:rPr/>
        <w:t>I, Larry E. Ruff, being duly sworn, depose and say as follows:</w:t>
      </w:r>
    </w:p>
    <w:p>
      <w:pPr>
        <w:pStyle w:val="Heading1"/>
        <w:ind w:hanging="0" w:start="0"/>
        <w:rPr/>
      </w:pPr>
      <w:bookmarkStart w:id="0" w:name="__RefHeading___Toc527933278"/>
      <w:bookmarkEnd w:id="0"/>
      <w:r>
        <w:rPr/>
        <w:t>INTRODUCTION</w:t>
      </w:r>
    </w:p>
    <w:p>
      <w:pPr>
        <w:pStyle w:val="Heading2"/>
        <w:ind w:hanging="0" w:start="0"/>
        <w:rPr/>
      </w:pPr>
      <w:bookmarkStart w:id="1" w:name="__RefHeading___Toc527933279"/>
      <w:bookmarkEnd w:id="1"/>
      <w:r>
        <w:rPr/>
        <w:t>Background</w:t>
      </w:r>
    </w:p>
    <w:p>
      <w:pPr>
        <w:pStyle w:val="Normal"/>
        <w:rPr/>
      </w:pPr>
      <w:r>
        <w:rPr/>
        <w:t>I am currently an independent consultant specializing in the economics of competitive electricity markets.  My business address is 1221 Jones St., #A4, San Francisco, CA, 94109.  I have been asked by Enron Power Marketing, Inc., and Enron Energy Services, Inc., (collectively, “Enron”) to provide my views on the appropriate way to assure sufficient capacity reserves in a competitive electricity market, and in particular to comment on the need for a capacity payment or installed capacity (ICAP) requirement separate from the requirement to pay market prices for energy and ancillary services including operating reserves.</w:t>
      </w:r>
    </w:p>
    <w:p>
      <w:pPr>
        <w:pStyle w:val="Normal"/>
        <w:rPr/>
      </w:pPr>
      <w:r>
        <w:rPr/>
        <w:t>My professional résumé is attached.  In summary, I have over thirty years experience in academia, government, industry and consulting as an energy and environmental economist and policy advisor.  For the fourteen years prior to May 2000, when I became an independent consultant, I was a Senior Vice President with National Economic Research Associates (NERA) and a Managing Director (and other titles) at Putnam, Hayes &amp; Bartlett Inc. (PHB).  During that period I specialized in the design and operations of competitive electricity markets in the United States and abroad.</w:t>
      </w:r>
    </w:p>
    <w:p>
      <w:pPr>
        <w:pStyle w:val="Normal"/>
        <w:rPr/>
      </w:pPr>
      <w:r>
        <w:rPr/>
        <w:t>I lived and worked in London during, and played a major intellectual role in, the development of the England and Wales Pool, the first competitive electricity market based on an open pool or spot market.  I subsequently led market design projects in Victoria and New South Wales (Australia), India, Thailand and Ontario (Canada) and was closely involved in the design, revision and/or operation of the electricity markets in New Zealand, Argentina, Peru, Alberta (Canada), and Spain.  In the United States, I have testified before the Federal Energy Regulatory Commission (“FERC” or “the Commission”) on gas and electricity transmission pricing and market design issues, have testified before many state regulatory commissions on demand-side management programs and other matters, and have advised parties in many states regarding competitive electricity markets.  I speak and write widely on these issues.</w:t>
      </w:r>
    </w:p>
    <w:p>
      <w:pPr>
        <w:pStyle w:val="Normal"/>
        <w:rPr/>
      </w:pPr>
      <w:r>
        <w:rPr/>
        <w:t>On the specific matter of capacity payments and requirements, I have submitted testimony on behalf of Enron and others to the Commission’s NEPOOL ICAP proceeding (Docket No. EL00-62-005).  This current affidavit is totally consistent with, and even contains many of the same arguments as, my affidavits in the NEPOOL ICAP proceeding.</w:t>
      </w:r>
    </w:p>
    <w:p>
      <w:pPr>
        <w:pStyle w:val="Heading2"/>
        <w:ind w:hanging="0" w:start="0"/>
        <w:rPr/>
      </w:pPr>
      <w:bookmarkStart w:id="2" w:name="__RefHeading___Toc527933280"/>
      <w:bookmarkEnd w:id="2"/>
      <w:r>
        <w:rPr/>
        <w:t>Purpose and Summary</w:t>
      </w:r>
    </w:p>
    <w:p>
      <w:pPr>
        <w:pStyle w:val="Normal"/>
        <w:rPr/>
      </w:pPr>
      <w:r>
        <w:rPr/>
        <w:t>The purpose of this affidavit is to provide my views on the appropriate way to assure sufficient capacity reserves in a competitive electricity market, and in particular to comment on the need for a capacity payment or installed capacity (ICAP) requirement separate from the requirement to pay market prices for energy and ancillary services (E&amp;AS, defined to include the various types of operating reserves needed for reliable real-time operations).</w:t>
      </w:r>
    </w:p>
    <w:p>
      <w:pPr>
        <w:pStyle w:val="Normal"/>
        <w:spacing w:before="0" w:after="120"/>
        <w:rPr/>
      </w:pPr>
      <w:r>
        <w:rPr/>
        <w:t xml:space="preserve">In summary, my basic conclusion is that the key to assuring adequate capacity – or, more accurately, reliability – is to permit/require the Regional Transmission Organization (RTO) to operate efficient real-time spot markets in E&amp;AS that always “clear,” in the sense that the pricing mechanism is able </w:t>
      </w:r>
      <w:r>
        <w:rPr>
          <w:i/>
          <w:iCs/>
        </w:rPr>
        <w:t>and is allowed</w:t>
      </w:r>
      <w:r>
        <w:rPr/>
        <w:t xml:space="preserve"> to determine prices that equate demand to supply for each E&amp;AS at all times.  If this is done, then, virtually by definition:</w:t>
      </w:r>
    </w:p>
    <w:p>
      <w:pPr>
        <w:pStyle w:val="Normal"/>
        <w:numPr>
          <w:ilvl w:val="0"/>
          <w:numId w:val="4"/>
        </w:numPr>
        <w:spacing w:before="0" w:after="120"/>
        <w:rPr/>
      </w:pPr>
      <w:r>
        <w:rPr/>
        <w:t>the RTO will always have all the E&amp;AS resources it needs to assure that demand is met reliably;</w:t>
      </w:r>
    </w:p>
    <w:p>
      <w:pPr>
        <w:pStyle w:val="Normal"/>
        <w:numPr>
          <w:ilvl w:val="0"/>
          <w:numId w:val="4"/>
        </w:numPr>
        <w:spacing w:before="0" w:after="120"/>
        <w:rPr/>
      </w:pPr>
      <w:r>
        <w:rPr/>
        <w:t>all market participants will see price signals that accurately reflect the real system costs and benefits resulting from their physical actions; and</w:t>
      </w:r>
    </w:p>
    <w:p>
      <w:pPr>
        <w:pStyle w:val="Normal"/>
        <w:numPr>
          <w:ilvl w:val="0"/>
          <w:numId w:val="4"/>
        </w:numPr>
        <w:spacing w:before="0" w:after="120"/>
        <w:rPr/>
      </w:pPr>
      <w:r>
        <w:rPr/>
        <w:t>all suppliers will be adequately compensated for providing the E&amp;AS services that have real value for reliability.</w:t>
      </w:r>
    </w:p>
    <w:p>
      <w:pPr>
        <w:pStyle w:val="Normal"/>
        <w:spacing w:before="0" w:after="120"/>
        <w:rPr/>
      </w:pPr>
      <w:r>
        <w:rPr/>
        <w:t>Systems in which the RTO pays for, or requires load-serving entities (LSEs) to pay for, something called “capacity” as opposed to real-time E&amp;AS are essentially ways to tax loads and use the proceeds to subsidize “capacity” to stand around in case it is needed.  Such tax/subsidy devices continue the regulatory practice of creating excess capacity as a public good that keeps wholesale E&amp;AS spot prices for all suppliers (but not retail prices to final consumers, which must cover the costs of the capacity subsidy as well as the E&amp;AS payments) lower and more stable on average than they would be in an efficient market.  Such devices are at best an inefficient way to maintain reliability, because they both:</w:t>
      </w:r>
    </w:p>
    <w:p>
      <w:pPr>
        <w:pStyle w:val="Normal"/>
        <w:numPr>
          <w:ilvl w:val="0"/>
          <w:numId w:val="3"/>
        </w:numPr>
        <w:spacing w:before="0" w:after="120"/>
        <w:rPr/>
      </w:pPr>
      <w:r>
        <w:rPr/>
        <w:t>pay generators for something other than providing real E&amp;AS when and where these have value for reliability; and</w:t>
      </w:r>
    </w:p>
    <w:p>
      <w:pPr>
        <w:pStyle w:val="Normal"/>
        <w:numPr>
          <w:ilvl w:val="0"/>
          <w:numId w:val="3"/>
        </w:numPr>
        <w:spacing w:before="0" w:after="120"/>
        <w:rPr/>
      </w:pPr>
      <w:r>
        <w:rPr/>
        <w:t>drive a tax wedge between the retail prices paid by loads and the prices paid to generators</w:t>
      </w:r>
    </w:p>
    <w:p>
      <w:pPr>
        <w:pStyle w:val="Normal"/>
        <w:rPr/>
      </w:pPr>
      <w:r>
        <w:rPr/>
        <w:t>In practice, such devices require the RTO to make many detailed decisions about what kind of capacity qualifies for how much of the capacity subsidy, how capacity performance will be measured and non-performance penalized, which LSEs should pay what share of the capacity taxes, etc.  And they embroil the Commission in interminable disputes about all such matters.  Any system that gives the monopoly RTO such control over the market and requires so much regulatory intervention is ultimately incompatible with effective and efficient competition.</w:t>
      </w:r>
    </w:p>
    <w:p>
      <w:pPr>
        <w:pStyle w:val="Normal"/>
        <w:rPr/>
      </w:pPr>
      <w:r>
        <w:rPr/>
        <w:t>Concerns about reliability and price stability in current or planned RTO markets should be addressed by assuring that RTOs operate efficient E&amp;AS spot markets that always clear, and that market participants who do not want to be exposed to the volatility of spot prices are protected by contracts that they choose for themselves or, for consumers who are unable to contract for themselves, that are provided by regulated suppliers.  If the Commission decides that capacity tax-subsidy arrangements are necessary while RTO spot markets are poorly developed and their results not fully accepted, the Commission should make it clear that these are acceptable only as transitional devices with a specific sunset date, e.g., for two years after creation of an RTO.</w:t>
      </w:r>
    </w:p>
    <w:p>
      <w:pPr>
        <w:pStyle w:val="Heading2"/>
        <w:ind w:hanging="0" w:start="0"/>
        <w:rPr/>
      </w:pPr>
      <w:bookmarkStart w:id="3" w:name="__RefHeading___Toc527933281"/>
      <w:bookmarkEnd w:id="3"/>
      <w:r>
        <w:rPr/>
        <w:t>Organization of This Affidavit</w:t>
      </w:r>
    </w:p>
    <w:p>
      <w:pPr>
        <w:pStyle w:val="Normal"/>
        <w:spacing w:before="0" w:after="120"/>
        <w:rPr/>
      </w:pPr>
      <w:r>
        <w:rPr/>
        <w:t>The balance of this affidavit consists of the following three sections:</w:t>
      </w:r>
    </w:p>
    <w:p>
      <w:pPr>
        <w:pStyle w:val="Normal"/>
        <w:numPr>
          <w:ilvl w:val="0"/>
          <w:numId w:val="2"/>
        </w:numPr>
        <w:rPr/>
      </w:pPr>
      <w:r>
        <w:rPr>
          <w:b/>
          <w:bCs/>
        </w:rPr>
        <w:t>Section 2:  The Concept of “Capacity”,</w:t>
      </w:r>
      <w:r>
        <w:rPr/>
        <w:t xml:space="preserve"> discusses why the concept of capacity as a commodity separate from energy and ancillary services was useful in regulated monopoly pools and why it is not useful or constructive in a competitive electricity market.</w:t>
      </w:r>
    </w:p>
    <w:p>
      <w:pPr>
        <w:pStyle w:val="Normal"/>
        <w:numPr>
          <w:ilvl w:val="0"/>
          <w:numId w:val="2"/>
        </w:numPr>
        <w:rPr/>
      </w:pPr>
      <w:r>
        <w:rPr>
          <w:b/>
          <w:bCs/>
        </w:rPr>
        <w:t>Section 3:  Installed Capacity Obligations,</w:t>
      </w:r>
      <w:r>
        <w:rPr/>
        <w:t xml:space="preserve"> discusses the logic and effects of ICAP regimes that require load-serving entities to contract for enough capacity to cover their own loads.</w:t>
      </w:r>
    </w:p>
    <w:p>
      <w:pPr>
        <w:pStyle w:val="Normal"/>
        <w:numPr>
          <w:ilvl w:val="0"/>
          <w:numId w:val="2"/>
        </w:numPr>
        <w:rPr/>
      </w:pPr>
      <w:r>
        <w:rPr>
          <w:b/>
          <w:bCs/>
        </w:rPr>
        <w:t>Section 4:  Conclusions and Recommendations,</w:t>
      </w:r>
      <w:r>
        <w:rPr/>
        <w:t xml:space="preserve"> provides a brief restatement of my conclusions and recommendations for the Commission.</w:t>
      </w:r>
    </w:p>
    <w:p>
      <w:pPr>
        <w:pStyle w:val="Heading1"/>
        <w:ind w:hanging="0" w:start="0"/>
        <w:rPr/>
      </w:pPr>
      <w:bookmarkStart w:id="4" w:name="__RefHeading___Toc527933282"/>
      <w:bookmarkEnd w:id="4"/>
      <w:r>
        <w:rPr>
          <w:caps w:val="false"/>
          <w:smallCaps w:val="false"/>
        </w:rPr>
        <w:t>THE  CONCEPT  OF  “CAPACITY”</w:t>
      </w:r>
    </w:p>
    <w:p>
      <w:pPr>
        <w:pStyle w:val="BlockText"/>
        <w:keepNext w:val="true"/>
        <w:spacing w:before="0" w:after="120"/>
        <w:ind w:start="288" w:end="288"/>
        <w:rPr/>
      </w:pPr>
      <w:r>
        <w:rPr/>
        <w:t>The concept of “capacity” as a commodity separate from energy and ancillary services was invented for regulated monopoly planning and power pooling processes.  It is unnecessary and counterproductive in, and is fundamentally inconsistent with, a competitive electricity market.</w:t>
      </w:r>
    </w:p>
    <w:p>
      <w:pPr>
        <w:pStyle w:val="Heading2"/>
        <w:ind w:hanging="0" w:start="0"/>
        <w:rPr/>
      </w:pPr>
      <w:bookmarkStart w:id="5" w:name="__RefHeading___Toc527933283"/>
      <w:bookmarkEnd w:id="5"/>
      <w:r>
        <w:rPr/>
        <w:t>“</w:t>
      </w:r>
      <w:r>
        <w:rPr/>
        <w:t>Capacity” Played a Useful Role in Monopoly Utility Systems</w:t>
      </w:r>
    </w:p>
    <w:p>
      <w:pPr>
        <w:pStyle w:val="Normal"/>
        <w:rPr/>
      </w:pPr>
      <w:r>
        <w:rPr/>
        <w:t>Advocates of capacity payments and/or obligations correctly point out that the concept of capacity as a separate commodity has a long and honorable tradition in monopoly utility planning, and that capacity obligations have long been used in the tight capacity-sharing power pools of the northeast United States and elsewhere.  But the planning methods used by such utilities, and the transfer pricing methods used in their power pools, have few parallels in competitive markets in general and are not needed or constructive in a well-designed competitive electricity market.</w:t>
      </w:r>
    </w:p>
    <w:p>
      <w:pPr>
        <w:pStyle w:val="Heading3"/>
        <w:ind w:hanging="0" w:start="0"/>
        <w:rPr/>
      </w:pPr>
      <w:bookmarkStart w:id="6" w:name="__RefHeading___Toc527933284"/>
      <w:bookmarkEnd w:id="6"/>
      <w:r>
        <w:rPr/>
        <w:t>A Monopoly Pool is Not a Market</w:t>
      </w:r>
    </w:p>
    <w:p>
      <w:pPr>
        <w:pStyle w:val="Normal"/>
        <w:rPr/>
      </w:pPr>
      <w:r>
        <w:rPr/>
        <w:t>Power pools formed by regulated monopoly utilities are not markets in which the prices of E&amp;AS are determined by supply and demand, but are capacity-sharing and cost-sharing arrangements in which transfer payments among pool members are based on readily observable costs.  Such pools began historically on the premise that each pool member would bring to the pool enough capacity to cover its own loads with a reserve margin, and then the pool would dispatch total pool capacity to minimize the total short-run cost of meeting total pool load and allocate the total short-run costs among pool members on some split-the-savings basis.  Over time, the complex split-the-savings calculations evolved towards payments for E&amp;AS at transfer prices based on easily observable short-run costs, but these transfer prices were never intended to cover the full costs of the capacity each member was required to bring to the pool.  Capacity was traded and priced among pool members as a commodity separate from the E&amp;AS it produced, and had value because capacity was essentially a “ticket” one needed to buy E&amp;AS from the pool at less than its full long-run cost.</w:t>
      </w:r>
    </w:p>
    <w:p>
      <w:pPr>
        <w:pStyle w:val="Normal"/>
        <w:rPr/>
      </w:pPr>
      <w:r>
        <w:rPr/>
        <w:t>If one begins with the premise that each buyer from the pool will make available to the pool enough capacity to produce what that buyer buys, it is only natural to define the transfer prices for E&amp;AS in terms of the readily-observable variable costs of producing each such service once the capacity is available.  For energy, the obvious transfer price is the variable energy cost (fuel costs plus variable O&amp;M costs) of the highest-energy-cost unit running during the pricing/settlement interval or “hour”</w:t>
      </w:r>
      <w:r>
        <w:rPr>
          <w:rStyle w:val="FootnoteCharacters"/>
          <w:rStyle w:val="FootnoteReference"/>
        </w:rPr>
        <w:footnoteReference w:id="2"/>
      </w:r>
      <w:r>
        <w:rPr/>
        <w:t xml:space="preserve"> during which energy is being exchanged.  Most ancillary services, including operating reserves and reactive power, cost little or nothing to provide once the capacity is available, so the obvious transfer prices for these services are very low or zero.  It does not matter that E&amp;AS transfer prices determined in this manner will not cover total capacity costs if each buyer at these prices must provide and/or pay for enough capacity to produce the E&amp;AS it buys.</w:t>
      </w:r>
    </w:p>
    <w:p>
      <w:pPr>
        <w:pStyle w:val="Normal"/>
        <w:rPr/>
      </w:pPr>
      <w:r>
        <w:rPr/>
        <w:t>The pricing and cost allocation rules outlined above are logical enough in a strict mathematical sense, and can even more-or-less “work” in a world of monopoly utilities in which all information is available to the central planner/price setter and all participants have legal obligations to do as they are told largely without regard to the immediate cost implications.  Even here, however, it is very difficult to define and enforce the obligation that each buyer from the pool provide or pay for enough “capacity” to produce what it buys.  Each pool member has incentives to cut its own costs by providing too little capacity and/or providing cheap capacity that does not produce actual E&amp;AS as reliably as and where it should.  So the pool operator make and enforce many judgmental and often arbitrary decisions regarding the standards that a machine must meet in order to qualify as “capacity,” the mix of E&amp;AS each machine must be capable of providing, the amount of “capacity” provided by machines with the same MW number on the nameplate but very different characteristics (e.g., hydro and thermal plants), the penalties for failure of capacity to provide E&amp;AS when called to do so, the amount and characteristics of capacity each buyer must provide based on its actual buys, and the penalties on a buyer for failure to provide the required capacity.</w:t>
      </w:r>
    </w:p>
    <w:p>
      <w:pPr>
        <w:pStyle w:val="Normal"/>
        <w:rPr/>
      </w:pPr>
      <w:r>
        <w:rPr/>
        <w:t>There really is no practical way for a pool operator to define and enforce all of the above standards and penalties in an efficient way.  But as long as all pool members are in the same club of regulated utilities who have the right to recover all prudent costs from captive customers, the cost and competitive implications of these decisions are not critical; the only critical thing is that each pool member’s regulators deem the resulting costs and their allocations to be “prudent.”  Unfortunately, what is acceptable in a cost-based pool of cooperating, regulated monopolies is not acceptable in a market composed of unregulated, profit-seeking competitors.</w:t>
      </w:r>
    </w:p>
    <w:p>
      <w:pPr>
        <w:pStyle w:val="Heading3"/>
        <w:ind w:hanging="0" w:start="0"/>
        <w:rPr/>
      </w:pPr>
      <w:bookmarkStart w:id="7" w:name="__RefHeading___Toc527933285"/>
      <w:bookmarkEnd w:id="7"/>
      <w:r>
        <w:rPr/>
        <w:t>The “Value of Capacity” Is NOT (Usually) the “Cost of a Peaker”</w:t>
      </w:r>
    </w:p>
    <w:p>
      <w:pPr>
        <w:pStyle w:val="Normal"/>
        <w:rPr/>
      </w:pPr>
      <w:r>
        <w:rPr/>
        <w:t>Capacity has value in a cost-based pool because the transfer prices for the E&amp;AS produced by capacity are significantly below the true value of those E&amp;AS, particularly during periods when demand is high or (more correctly) when capacity is scarce relative to demand for any reason, such as generating plant failures.  Because the transfer prices of ancillary services (including reserves) are usually small or zero and the transfer price of energy is equal to the pool’s incremental energy cost or “system lambda,” during such critical periods total payments to capacity are determined by the variable energy costs of the generating unit with the highest variable energy cost – so-called “pure capacity” and usually assumed to be a combustion turbine (CT) – and the amount of energy that is actually being generated.  The difference between the true value of all the E&amp;AS provided by capacity (including the capacity providing uncompensated ancillary services rather than energy) and the energy payments at incremental-cost transfer payments is the true value of capacity.</w:t>
      </w:r>
    </w:p>
    <w:p>
      <w:pPr>
        <w:pStyle w:val="Normal"/>
        <w:rPr/>
      </w:pPr>
      <w:r>
        <w:object w:dxaOrig="14400" w:dyaOrig="1080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position:absolute;margin-left:197.25pt;margin-top:2.8pt;width:253.5pt;height:173.5pt;mso-wrap-distance-left:9.05pt;mso-wrap-distance-right:9.05pt;mso-position-horizontal-relative:text;mso-position-vertical-relative:text" stroked="t" strokecolor="#000000" strokeweight="0pt" filled="f" o:ole="">
            <v:stroke linestyle="Single" dashstyle="Solid"/>
            <v:imagedata r:id="rId7" o:title=""/>
            <w10:wrap type="square"/>
          </v:shape>
          <o:OLEObject Type="Embed" ProgID="PowerPoint.Show.12" ShapeID="ole_rId6" DrawAspect="Content" ObjectID="_2065960128" r:id="rId6"/>
        </w:object>
      </w:r>
      <w:r>
        <w:rPr/>
        <w:t>Figure 1 illustrates the above logic.  The true value of E&amp;AS in each hour is the incremental cost of supplying E&amp;AS or, during critical periods, of reducing demand or taking other costly actions (e.g., running risks by reducing operating reserves or voltage), so that demand can be met reliably.  But if the pool pays only for energy at system lambda, pool transfer payments for E&amp;AS will be less than the true value of E&amp;AS, both because ancillary services are not being compensated and because the energy transfer prices is limited by the incremental energy cost of a CT (EP</w:t>
      </w:r>
      <w:r>
        <w:rPr>
          <w:vertAlign w:val="superscript"/>
        </w:rPr>
        <w:t>CT</w:t>
      </w:r>
      <w:r>
        <w:rPr/>
        <w:t xml:space="preserve"> in Figure 1) even though the value of incremental energy can be much higher during critical periods when costly demand-side and emergency operational measures are needed to keep the lights on.  The difference in each hour between the true value of E&amp;AS and the energy transfer price is the value of “pure” capacity for that hour.  The hourly values can be added across some period such as a month or a year to get the value of capacity over that period.</w:t>
      </w:r>
    </w:p>
    <w:p>
      <w:pPr>
        <w:pStyle w:val="Normal"/>
        <w:rPr/>
      </w:pPr>
      <w:r>
        <w:rPr/>
        <w:t>It is a well known result from utility planning theory that, if the transfer price of energy in a pool is set at the pool’s incremental energy cost (or system lambda) and all generating capacity receives an additional annual payment equal to the annualized carrying cost of a CT, each generating unit will just cover its full operating and capacity costs – provided that a CT sets the highest energy price, the system has the optimal amount and mix of capacity given system demand for that year, each year is just like the previous and the succeeding years, there is no technical change or economies of scale, etc.  This theoretical result is often interpreted to mean that the value of capacity is everywhere and always equal to the carrying cost of a CT.  But given the many simplifying assumptions needed to obtain this theoretical result, such an interpretation is incorrect.  At most, this result means that, in a well-planned and well-run cost-based pool, there is some tendency for the average value of capacity over a long period of time to approximate or tend towards the ever-changing costs of whatever it is that sets the energy price during critical periods.</w:t>
      </w:r>
    </w:p>
    <w:p>
      <w:pPr>
        <w:pStyle w:val="Normal"/>
        <w:rPr/>
      </w:pPr>
      <w:r>
        <w:rPr/>
        <w:t>Even in a cost-regulated pool in which the highest energy transfer price is the energy cost of a CT, the true value of capacity over (say) a year can be either greater or less than the annual carrying cost of a CT if the system is not fully optimal for the specific demand pattern of that year – which will virtually always be the case.  In particular, the value of pure capacity can be essentially zero if there is enough excess capacity and/or if new technology with much lower costs is in the process of displacing older, less efficient capacity.  Even if the annual value of capacity over some year is, by coincidence, equal to the annual carrying cost of a CT, the true monthly, weekly and hourly values of capacity will vary widely over the year and hence cannot be determined simply by spreading the annual capacity value equally over all periods of the year.</w:t>
      </w:r>
    </w:p>
    <w:p>
      <w:pPr>
        <w:pStyle w:val="Normal"/>
        <w:rPr/>
      </w:pPr>
      <w:r>
        <w:rPr/>
        <w:t xml:space="preserve">In regulated, cost-based pools, it is common practice to require a member with a capacity deficiency to pay a monthly capacity deficiency penalty (CDP) equal to that member’s highest </w:t>
      </w:r>
      <w:r>
        <w:rPr>
          <w:i/>
          <w:iCs/>
        </w:rPr>
        <w:t>hourly</w:t>
      </w:r>
      <w:r>
        <w:rPr/>
        <w:t xml:space="preserve"> deficiency during the month multiplied by the </w:t>
      </w:r>
      <w:r>
        <w:rPr>
          <w:i/>
          <w:iCs/>
        </w:rPr>
        <w:t>monthly</w:t>
      </w:r>
      <w:r>
        <w:rPr/>
        <w:t xml:space="preserve"> (or one-twelfth of the annual) carrying cost of a CT, even if the deficiency occurs only once during the month and during an hour in which the true value of capacity is small or zero.  This may be acceptable given that the real purpose of a CDP in a cost-based pool is not to serve as a proxy for the value of capacity but to bludgeon each regulated monopoly member of the pool into buying its own capacity even if it is very costly to do so.  But nobody should make the mistake of assuming that such a calculation has anything to do with estimating the actual value of capacity over the month even in a cost-based pool, much less in a competitive energy market.</w:t>
      </w:r>
      <w:r>
        <w:br w:type="page"/>
      </w:r>
    </w:p>
    <w:p>
      <w:pPr>
        <w:pStyle w:val="Heading2"/>
        <w:ind w:hanging="0" w:start="0"/>
        <w:rPr/>
      </w:pPr>
      <w:bookmarkStart w:id="8" w:name="__RefHeading___Toc527933286"/>
      <w:bookmarkEnd w:id="8"/>
      <w:r>
        <w:rPr/>
        <w:t>“</w:t>
      </w:r>
      <w:r>
        <w:rPr/>
        <w:t>Capacity” Is Not a Logical Concept in a Competitive Market</w:t>
      </w:r>
    </w:p>
    <w:p>
      <w:pPr>
        <w:pStyle w:val="Normal"/>
        <w:rPr/>
      </w:pPr>
      <w:r>
        <w:rPr/>
        <w:t>In a competitive electricity market, the old regulatory concepts underlying capacity payments and obligations no longer apply.  Settlement prices in a pool-based market are not set by the observable variable energy costs of some specific machine, but by the interaction of supply and demand in each pricing/settlement hour.  These fundamentally different pricing arrangements invalidate the basic concept that capacity is a commodity separate from E&amp;AS, and particularly the notion that capacity deserves to be paid for simply existing as opposed to providing and being paid for actual E&amp;AS.</w:t>
      </w:r>
    </w:p>
    <w:p>
      <w:pPr>
        <w:pStyle w:val="Heading3"/>
        <w:ind w:hanging="0" w:start="0"/>
        <w:rPr/>
      </w:pPr>
      <w:r>
        <w:rPr>
          <w:rFonts w:eastAsia="Arial"/>
        </w:rPr>
        <w:t xml:space="preserve"> </w:t>
      </w:r>
      <w:bookmarkStart w:id="9" w:name="__RefHeading___Toc527933287"/>
      <w:r>
        <w:rPr/>
        <w:t>“</w:t>
      </w:r>
      <w:r>
        <w:rPr/>
        <w:t>Capacity” Has No Value Unless E&amp;AS Are Underpriced</w:t>
      </w:r>
      <w:bookmarkEnd w:id="9"/>
    </w:p>
    <w:p>
      <w:pPr>
        <w:pStyle w:val="Normal"/>
        <w:rPr/>
      </w:pPr>
      <w:r>
        <w:object w:dxaOrig="14400" w:dyaOrig="1080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215.25pt;margin-top:467.25pt;width:235.25pt;height:166.45pt;mso-wrap-distance-left:9.05pt;mso-wrap-distance-right:9.05pt;mso-position-horizontal-relative:text;mso-position-vertical-relative:page" stroked="t" strokecolor="#000000" strokeweight="0pt" filled="f" o:ole="">
            <v:stroke linestyle="Single" dashstyle="Solid"/>
            <v:imagedata r:id="rId9" o:title=""/>
            <w10:wrap type="square"/>
          </v:shape>
          <o:OLEObject Type="Embed" ProgID="PowerPoint.Show.12" ShapeID="ole_rId8" DrawAspect="Content" ObjectID="_429275387" r:id="rId8"/>
        </w:object>
      </w:r>
      <w:r>
        <w:rPr/>
        <w:t>If the hourly markets for E&amp;AS</w:t>
      </w:r>
      <w:r>
        <w:rPr>
          <w:rStyle w:val="FootnoteCharacters"/>
          <w:rStyle w:val="FootnoteReference"/>
        </w:rPr>
        <w:footnoteReference w:id="3"/>
      </w:r>
      <w:r>
        <w:rPr/>
        <w:t xml:space="preserve"> always clear, in the sense that hourly prices always go as high as necessary to call forth enough supply to meet demand at that price, there is clearly no need or justification for any additional capacity payment.  There is no justification for defining and making periodic payments for pure capacity or ICAP as a product distinct from any real E&amp;AS unless hourly E&amp;AS prices do not rise enough during periods of scarcity to clear the market and hence generating capacity does not earn what it “should” from E&amp;AS prices alone.  And if E&amp;AS pricing is deficient in this sense, the obvious solution is to improve E&amp;AS pricing, not to paper it over with a general payment made to all capacity whether or not it helps solve the problems created by the mispricing of E&amp;AS.</w:t>
      </w:r>
    </w:p>
    <w:p>
      <w:pPr>
        <w:pStyle w:val="Normal"/>
        <w:rPr/>
      </w:pPr>
      <w:r>
        <w:rPr/>
        <w:t>The pricing concepts that apply in a competitive market are illustrated in Figure 2.  When E&amp;AS prices are based on supply and demand as defined by generator offers and demand bids or forecasts, they will often be imperfect compared to the efficient prices that would prevail if competition and the pricing rules were perfect, simply because nothing is perfect in the real world.  But the market prices will be a reasonable approximation to the true competitive prices, because if they are not the markets will not clear and the excess supply or demand will soon become obvious.  In any case, the fact that actual market prices are always imperfect in an imperfect world provides no basis for a general presumption that market prices are too low on average compared to efficient, competitive prices.</w:t>
      </w:r>
    </w:p>
    <w:p>
      <w:pPr>
        <w:pStyle w:val="Normal"/>
        <w:rPr/>
      </w:pPr>
      <w:r>
        <w:rPr/>
        <w:t>Actual market prices may be too low during critical periods if there are price caps or technical limits on high prices, or they may be too high if market power is particularly strong during such periods.  Actual market prices may be too low during off-peak periods if some generators are operating to meet contract loads when it would be more efficient for them to shut down and buy from other generators, or they may be too high if the market rules do not properly deal with inflexible generators.  Actual market prices may be too high during high-but-not-quite-peak demand periods if market power can be exercised then without violating price caps or attracting too much political heat.  Where technical mispricing or the exercise of market power is identified, it should be fixed when and if it is practical and cost-effective to do so.  Mispricing of E&amp;AS should not be tolerated and then used as an excuse for separate capacity payments – particularly when there is no basis for a general presumption that E&amp;AS prices are too low on average.</w:t>
      </w:r>
    </w:p>
    <w:p>
      <w:pPr>
        <w:pStyle w:val="Normal"/>
        <w:spacing w:before="0" w:after="120"/>
        <w:rPr/>
      </w:pPr>
      <w:r>
        <w:rPr/>
        <w:t>As illustrated in Figure 2, if generating capacity deserves any extra periodic payment the amount it deserves over a period such as a month is the NET sum over the month of all the hourly differences between efficient E&amp;AS prices and actual market prices.  This principle implies several important conclusions about any periodic payment that is intended to compensate for market mispricing of E&amp;AS, including the following:</w:t>
      </w:r>
    </w:p>
    <w:p>
      <w:pPr>
        <w:pStyle w:val="Normal"/>
        <w:numPr>
          <w:ilvl w:val="0"/>
          <w:numId w:val="3"/>
        </w:numPr>
        <w:spacing w:before="0" w:after="0"/>
        <w:rPr/>
      </w:pPr>
      <w:r>
        <w:rPr/>
        <w:t>The level of capacity payments needed to compensate for mispricing of E&amp;AS has nothing to do with the carrying costs of a CT unless some very restrictive conditions apply, including:</w:t>
      </w:r>
    </w:p>
    <w:p>
      <w:pPr>
        <w:pStyle w:val="Normal"/>
        <w:numPr>
          <w:ilvl w:val="1"/>
          <w:numId w:val="3"/>
        </w:numPr>
        <w:spacing w:lineRule="auto" w:line="240" w:before="0" w:after="120"/>
        <w:rPr/>
      </w:pPr>
      <w:r>
        <w:rPr/>
        <w:t>The market price of energy is limited to the variable energy costs of a CT;</w:t>
      </w:r>
    </w:p>
    <w:p>
      <w:pPr>
        <w:pStyle w:val="Normal"/>
        <w:numPr>
          <w:ilvl w:val="1"/>
          <w:numId w:val="3"/>
        </w:numPr>
        <w:spacing w:lineRule="auto" w:line="240" w:before="0" w:after="120"/>
        <w:rPr/>
      </w:pPr>
      <w:r>
        <w:rPr/>
        <w:t>There is no excess capacity;</w:t>
      </w:r>
    </w:p>
    <w:p>
      <w:pPr>
        <w:pStyle w:val="Normal"/>
        <w:numPr>
          <w:ilvl w:val="1"/>
          <w:numId w:val="3"/>
        </w:numPr>
        <w:spacing w:lineRule="auto" w:line="240" w:before="0" w:after="120"/>
        <w:rPr/>
      </w:pPr>
      <w:r>
        <w:rPr/>
        <w:t>There are no separate payments for reserves and ancillary services; and</w:t>
      </w:r>
    </w:p>
    <w:p>
      <w:pPr>
        <w:pStyle w:val="Normal"/>
        <w:numPr>
          <w:ilvl w:val="1"/>
          <w:numId w:val="3"/>
        </w:numPr>
        <w:spacing w:lineRule="auto" w:line="240"/>
        <w:rPr/>
      </w:pPr>
      <w:r>
        <w:rPr/>
        <w:t>A CT is the lowest-fixed-cost way to assure that supply equals demand in critical periods.</w:t>
      </w:r>
    </w:p>
    <w:p>
      <w:pPr>
        <w:pStyle w:val="Normal"/>
        <w:numPr>
          <w:ilvl w:val="0"/>
          <w:numId w:val="3"/>
        </w:numPr>
        <w:rPr/>
      </w:pPr>
      <w:r>
        <w:rPr/>
        <w:t>In a market in which energy prices can and do increase to very high levels when the demand/supply balance is tight, and in which there are separate payments for reserves and other ancillary services, the value of capacity may be small, zero or – if market power or other factors push average E&amp;AS prices above efficient, competitive market levels – even negative.</w:t>
      </w:r>
    </w:p>
    <w:p>
      <w:pPr>
        <w:pStyle w:val="Normal"/>
        <w:numPr>
          <w:ilvl w:val="0"/>
          <w:numId w:val="3"/>
        </w:numPr>
        <w:rPr/>
      </w:pPr>
      <w:r>
        <w:rPr/>
        <w:t>Even price caps in the E&amp;AS markets do not necessarily imply that capacity needs or deserves a separate payment, provided that any such price cap has the intent and effect of preventing flawed pricing rules or generator market power from driving prices above “true” market-clearing levels at critical times.</w:t>
      </w:r>
    </w:p>
    <w:p>
      <w:pPr>
        <w:pStyle w:val="Normal"/>
        <w:numPr>
          <w:ilvl w:val="0"/>
          <w:numId w:val="3"/>
        </w:numPr>
        <w:rPr/>
      </w:pPr>
      <w:r>
        <w:rPr/>
        <w:t>Estimating the value of capacity administratively as the gap between the annual carrying cost of “pure capacity” and what such capacity earns in the E&amp;AS market is impractical, because it requires making judgments/guesses about both:  (1) what type of machine – e.g., a CT, an old steam turbine or a CC – or activity – e.g., load management or imports –is the cheapest source of “pure capacity;” and (2) how much that machine/activity will need in addition to E&amp;AS payments to cover its full costs.</w:t>
      </w:r>
    </w:p>
    <w:p>
      <w:pPr>
        <w:pStyle w:val="Normal"/>
        <w:numPr>
          <w:ilvl w:val="0"/>
          <w:numId w:val="3"/>
        </w:numPr>
        <w:rPr/>
      </w:pPr>
      <w:r>
        <w:rPr/>
        <w:t>If E&amp;AS are underpriced and hence capacity has some value, this value can in principle be estimated using a market process in which generators compete to provide the capacity needed, either to LSEs or (probably better) directly to the RTO.  Experience in NEPOOL and elsewhere demonstrates, however, that such a capacity market requires many difficult judgments by the RTO and regulators and is subject to extreme forms of gaming.</w:t>
      </w:r>
    </w:p>
    <w:p>
      <w:pPr>
        <w:pStyle w:val="Normal"/>
        <w:numPr>
          <w:ilvl w:val="0"/>
          <w:numId w:val="3"/>
        </w:numPr>
        <w:rPr/>
      </w:pPr>
      <w:r>
        <w:rPr/>
        <w:t>Even a market-determined capacity payment is an inefficient way to solve any problems caused by flawed E&amp;AS pricing, because periodic capacity payments do little to assure that the capacity receiving the payment is actually available when needed or to stimulate demand-side responses at the right times and places.  It is far better to improve spot E&amp;AS markets to assure that enough capacity is actually available and that loads get the right price signals to reduce demands at critical times.</w:t>
      </w:r>
    </w:p>
    <w:p>
      <w:pPr>
        <w:pStyle w:val="Heading3"/>
        <w:ind w:hanging="0" w:start="0"/>
        <w:rPr/>
      </w:pPr>
      <w:bookmarkStart w:id="10" w:name="__RefHeading___Toc527933288"/>
      <w:bookmarkEnd w:id="10"/>
      <w:r>
        <w:rPr/>
        <w:t>E&amp;AS Are Not Generally Underpriced in Pool-Based Markets</w:t>
      </w:r>
    </w:p>
    <w:p>
      <w:pPr>
        <w:pStyle w:val="Normal"/>
        <w:rPr/>
      </w:pPr>
      <w:r>
        <w:rPr/>
        <w:t>Energy prices in a well-designed electricity market may, during normal periods when there is plenty of generating capacity relative to demand, reflect the observable energy costs of the units that are on the margin at that time.  But during critical supply/demand periods, the energy price may – and should – go to very high scarcity levels that are many times the observable incremental energy costs of any physical unit.  Depending on the market rules, the high energy prices during such periods may be set by demand-side bids, by supply offers from energy-limited (e.g., hydro) units with low observable energy costs but high opportunity costs, by the high costs of emergency purchases, imports or recalled export transactions, or by administrative rules that set prices based on an estimated loss-of-load probability (LoLP) and deemed value-of-lost-load (VoLL).</w:t>
      </w:r>
    </w:p>
    <w:p>
      <w:pPr>
        <w:pStyle w:val="Normal"/>
        <w:rPr/>
      </w:pPr>
      <w:r>
        <w:rPr/>
        <w:t>Furthermore, every pool-based electricity market pays generators not only for energy actually produced, but also for operating reserves and other ancillary services, at prices that reflect the opportunity costs of not-producing energy and hence increase to very high levels when energy prices do.  This is in marked contrast with traditional capacity-sharing pools, in which capacity is usually required to provide ancillary services essentially for free; indeed, the fact that units provide such services when they are not producing energy is an important justification for capacity obligations and payments in such systems.   In a well-designed pool-based market, generating units (and even controllable loads) can make substantial money providing reserves and ancillary services even if they do not produce energy – provided that they have the physical characteristics that make them useful for these purposes.</w:t>
      </w:r>
    </w:p>
    <w:p>
      <w:pPr>
        <w:pStyle w:val="Normal"/>
        <w:rPr/>
      </w:pPr>
      <w:r>
        <w:rPr/>
        <w:t>Whatever the details of the pricing mechanism in a pool-based market, such a market is a very different animal from the cost-based utility pools that require capacity payments and/or obligations.  If spot E&amp;AS prices are doing what they should be doing, they are inducing generators to provide E&amp;AS when and where these are actually needed and compensating them adequately for doing so.  These spot E&amp;AS prices are also producing hourly prices</w:t>
      </w:r>
      <w:r>
        <w:rPr>
          <w:rStyle w:val="FootnoteCharacters"/>
          <w:rStyle w:val="FootnoteReference"/>
        </w:rPr>
        <w:footnoteReference w:id="4"/>
      </w:r>
      <w:r>
        <w:rPr/>
        <w:t xml:space="preserve"> to at least some, mostly large consumers that will stimulate demand-side responses that will help clear the market at lower prices and reduce supply-side market power.  There is no reason to assume that the E&amp;AS prices in a competitive market will be too low at critical times or on average to cover the full costs of capacity or to stimulate the addition of new capacity by profit-seeking investors.</w:t>
      </w:r>
    </w:p>
    <w:p>
      <w:pPr>
        <w:pStyle w:val="Normal"/>
        <w:rPr/>
      </w:pPr>
      <w:r>
        <w:rPr/>
        <w:t>In summary, generators in a market-drive electricity system earn far more from the sale of E&amp;AS than they would earn selling energy at cost-based prices limited by the observed energy cost of a CT, as would be the case in a cost-based pool.  The fact that cost-regulated pools make capacity payments based on the carrying costs of a CT provides absolutely no justification for assuming that generating units in a market-based electricity system need or deserve anything more than they get from energy prices, much less for assuming that they need or deserve a capacity payment that has anything to do with the carrying cost of a CT.</w:t>
      </w:r>
    </w:p>
    <w:p>
      <w:pPr>
        <w:pStyle w:val="Heading1"/>
        <w:ind w:hanging="0" w:start="0"/>
        <w:rPr/>
      </w:pPr>
      <w:bookmarkStart w:id="11" w:name="__RefHeading___Toc527933289"/>
      <w:bookmarkEnd w:id="11"/>
      <w:r>
        <w:rPr>
          <w:caps w:val="false"/>
          <w:smallCaps w:val="false"/>
        </w:rPr>
        <w:t>INSTALLED  CAPACITY  OBLIGATIONS</w:t>
      </w:r>
    </w:p>
    <w:p>
      <w:pPr>
        <w:pStyle w:val="BlockText"/>
        <w:rPr/>
      </w:pPr>
      <w:r>
        <w:rPr/>
        <w:t>Requiring load-serving entities to provide capacity is at best an inefficient tax/subsidy arrangement and at worst is inconsistent with efficient and nondiscriminatory competition.</w:t>
      </w:r>
    </w:p>
    <w:p>
      <w:pPr>
        <w:pStyle w:val="Normal"/>
        <w:rPr/>
      </w:pPr>
      <w:r>
        <w:rPr/>
        <w:t>This section discusses the leading contender for a method of providing capacity payments to generators over and above payments for the E&amp;AS they actually provide, which is some form of the installed capacity (ICAP) requirement imposed on LSEs by the ISOs in PJM, New England and New York; it is no coincidence that all of these markets developed from tight power pools in which ICAP requirements were essential.  Actual and proposed ICAP systems differ in details, but all require LSEs to own or contract for enough ICAP to meet their projected or actual loads over some period with some reserve margin, with the ISO defining how much ICAP each LSE must buy and how much each generating unit can sell, the penalties (if any) for failure of ICAP to perform, and the penalties on LSEs for failure to contract for enough ICAP.  Such systems result in periodic – e.g., seasonal, monthly or daily – payments from LSEs to generators over and above any hourly payments for E&amp;AS actually provided.</w:t>
      </w:r>
    </w:p>
    <w:p>
      <w:pPr>
        <w:pStyle w:val="Heading2"/>
        <w:ind w:hanging="0" w:start="0"/>
        <w:rPr/>
      </w:pPr>
      <w:bookmarkStart w:id="12" w:name="__RefHeading___Toc527933290"/>
      <w:r>
        <w:rPr/>
        <w:t>ICAP Is Not a Real Product that Provides Real Services</w:t>
      </w:r>
      <w:bookmarkEnd w:id="12"/>
      <w:r>
        <w:rPr/>
        <w:t xml:space="preserve"> </w:t>
      </w:r>
    </w:p>
    <w:p>
      <w:pPr>
        <w:pStyle w:val="Normal"/>
        <w:rPr/>
      </w:pPr>
      <w:r>
        <w:rPr/>
        <w:t>In order to qualify to sell ICAP, a generating unit typically needs do nothing except demonstrate that it passed an availability test at some earlier time.  A generator selling ICAP may take on an obligation to offer E&amp;AS into the RTO’s spot market when it is “available,” but can set its offer prices as high as it pleases (up to any price caps in the market).  The ICAP seller has no obligation to deliver E&amp;AS at a specified price or at all, to buy replacement E&amp;AS if it cannot deliver, or even to be available to deliver anything during critical hours or even during projected peak hours.  Indeed, a unit can be paid for ICAP even if it is out of service and hence can do absolutely nothing for the LSE that is paying for ICAP or for the system as a whole.</w:t>
      </w:r>
    </w:p>
    <w:p>
      <w:pPr>
        <w:pStyle w:val="Normal"/>
        <w:rPr/>
      </w:pPr>
      <w:r>
        <w:rPr/>
        <w:t>The LSE who pays for ICAP gets no energy at a defined price, no compensation if the generator selling the ICAP is not available and no special reliability benefits.  All LSEs (or their customers who are final consumers) may get some benefits in the form of less volatile prices, but this is a generalized benefit that comes at the expense of higher average prices.</w:t>
      </w:r>
    </w:p>
    <w:p>
      <w:pPr>
        <w:pStyle w:val="Normal"/>
        <w:rPr/>
      </w:pPr>
      <w:r>
        <w:rPr/>
        <w:t>Thus, whatever else may be said about ICAP, it is not a normal commodity.  Even if it is worthwhile paying ICAP just for existing, as opposed to providing real E&amp;AS, trying to treat ICAP as a normal commodity by requiring or even allowing LSEs to buy it from generators bilaterally is a complex and inefficient way to accomplish what can be accomplished more easily in other ways.</w:t>
      </w:r>
    </w:p>
    <w:p>
      <w:pPr>
        <w:pStyle w:val="Heading2"/>
        <w:ind w:hanging="0" w:start="0"/>
        <w:rPr/>
      </w:pPr>
      <w:bookmarkStart w:id="13" w:name="__RefHeading___Toc527933291"/>
      <w:bookmarkEnd w:id="13"/>
      <w:r>
        <w:rPr/>
        <w:t>An ICAP Obligation Is an Inefficient Tax/Subsidy Arrangement</w:t>
      </w:r>
    </w:p>
    <w:p>
      <w:pPr>
        <w:pStyle w:val="Normal"/>
        <w:rPr/>
      </w:pPr>
      <w:r>
        <w:rPr/>
        <w:t>If an ICAP obligation does anything except transfer money from LSEs/consumers to generators for doing nothing, it subsidizes the existence of generating capacity generally, without regard to what any specific generating unit can or does do to provide services valued by LSEs or the RTO.  Presumably having more capacity around has some benefits, such as reducing wholesale E&amp;AS prices on average and particularly during critical periods when E&amp;AS prices would otherwise be very high and volatile.  But the lower average wholesale E&amp;AS prices will be more than offset at the retail level by the ICAP payments that LSEs must make and then recover from their customers, and the lower E&amp;AS prices during critical periods will make it harder to match supply to demand during such periods.  The net effect is that the average prices paid by consumers are higher, if somewhat less volatile.</w:t>
      </w:r>
    </w:p>
    <w:p>
      <w:pPr>
        <w:pStyle w:val="Normal"/>
        <w:rPr/>
      </w:pPr>
      <w:r>
        <w:rPr/>
        <w:t>An arrangement under which a buyer faces less risk of occasional very high payments but makes more predictable periodic payments that are higher on average is a form of insurance.  Any insurance arrangement increases “moral hazard”</w:t>
      </w:r>
      <w:r>
        <w:rPr>
          <w:rStyle w:val="FootnoteCharacters"/>
          <w:rStyle w:val="FootnoteReference"/>
        </w:rPr>
        <w:footnoteReference w:id="5"/>
      </w:r>
      <w:r>
        <w:rPr/>
        <w:t xml:space="preserve"> and hence costs, but the higher costs can be worth paying if the risk reduction is large enough and cannot be obtained some other, lower-cost way.  The basic problem with an ICAP obligation is that it forces all consumers to pay for one specific, and highly inefficient and ineffectual form of price insurance whether they want it or not, when there is no reason to socialize costs in this way and many good reasons not to do so.</w:t>
      </w:r>
    </w:p>
    <w:p>
      <w:pPr>
        <w:pStyle w:val="Normal"/>
        <w:rPr/>
      </w:pPr>
      <w:r>
        <w:rPr/>
        <w:t>An ICAP obligation is a very inefficient form of price insurance.  It is analogous to a law requiring all automobile owners to pay monthly premiums to an accident insurance scheme that subsidizes the existence of body shops but does not pay for specific repairs.  The subsidies to body shops might reduce the market price of repairs, so car owners might get something for their money.  But there are much more efficient ways to organize the automobile insurance business.</w:t>
      </w:r>
    </w:p>
    <w:p>
      <w:pPr>
        <w:pStyle w:val="Normal"/>
        <w:rPr/>
      </w:pPr>
      <w:r>
        <w:rPr/>
        <w:t>An ICAP obligation is not only a highly inefficient form of price insurance, but it is a mandatory one that does not let LSEs or their customers use their premium money to buy different and better forms of insurance for themselves.  Such forced socialization of risks is seldom efficient, should be avoided if possible and is certainly not required to make electricity markets work.  In the absence of the ICAP obligation, the price of energy in spot markets would tend to be more volatile, but any individual LSE or consumer could contract with any competitive retailer for the form of price insurance that best meets its needs.  Generators would still be able to get periodic capacity payments instead of purely spot E&amp;AS payments if that is what they wanted, but to do so they would have to sell contracts to buyers who would want something in return.</w:t>
      </w:r>
    </w:p>
    <w:p>
      <w:pPr>
        <w:pStyle w:val="Normal"/>
        <w:rPr/>
      </w:pPr>
      <w:r>
        <w:rPr/>
        <w:t>It is understandable that generators usually prefer ICAP obligations on LSEs to a real commercial contract market; automobile body shop owners would also probably prefer to be subsidized for existing rather than being paid only when they actually repaired something.  But there is no reason for the Commission to grant generators such a self-serving wish.</w:t>
      </w:r>
    </w:p>
    <w:p>
      <w:pPr>
        <w:pStyle w:val="Normal"/>
        <w:rPr/>
      </w:pPr>
      <w:r>
        <w:rPr/>
        <w:t>Many consumers would probably prefer the socialized form of insurance implied by an ICAP obligation on LSEs to being exposed to volatile spot prices.  But final consumers who want price insurance can and should get it through the retail market, and even final consumers who want regulated price insurance can and should get it from the state regulators responsible for retail competition under the federal system in the United States.</w:t>
      </w:r>
    </w:p>
    <w:p>
      <w:pPr>
        <w:pStyle w:val="Normal"/>
        <w:rPr/>
      </w:pPr>
      <w:r>
        <w:rPr/>
        <w:t>One of the principal purposes of competition is to reduce the extent to which risks are socialized.  The Commission should assure that the wholesale market provides reliable supply at efficient wholesale prices so that final consumers allowed to shop for supplies can decide for themselves how much price insurance to buy and so that state legislators and regulators can decide how much socialized price insurance they want for consumers in their states.  An ICAP obligation at the Commission-regulated RTO level would limit the choices available to the states and final consumers.</w:t>
      </w:r>
    </w:p>
    <w:p>
      <w:pPr>
        <w:pStyle w:val="Heading2"/>
        <w:ind w:hanging="0" w:start="0"/>
        <w:rPr/>
      </w:pPr>
      <w:bookmarkStart w:id="14" w:name="__RefHeading___Toc527933292"/>
      <w:bookmarkEnd w:id="14"/>
      <w:r>
        <w:rPr/>
        <w:t>Capacity Obligations Do Little To Improve Reliability</w:t>
      </w:r>
    </w:p>
    <w:p>
      <w:pPr>
        <w:pStyle w:val="Normal"/>
        <w:rPr/>
      </w:pPr>
      <w:r>
        <w:rPr/>
        <w:t>Hourly E&amp;AS prices that vary widely in response to system conditions may be politically and commercially unwelcome, but actually enhance system reliability by providing price signals that encourage helpful demand and supply responses.  In a well-functioning market E&amp;AS prices will increase at the right times (and, with locational marginal pricing or LMP, at the right places) to assure that E&amp;AS are available and that demand is reduced when (and where) needed for reliability purposes in the short run.  In the longer run, market-clearing E&amp;AS prices will stimulate the right combination of shutdown/restart decisions for existing capacity, the right mix of investment in new generation and the right demand-side investment decisions.  Nothing more is needed or desirable, and nothing nearly this efficient will be stimulated by an ICAP obligation that pays generators just for existing.</w:t>
      </w:r>
    </w:p>
    <w:p>
      <w:pPr>
        <w:pStyle w:val="Normal"/>
        <w:rPr/>
      </w:pPr>
      <w:r>
        <w:rPr/>
        <w:t>An ICAP obligation does little to make it easier for a RTO to maintain reliability.  The generators receiving ICAP payments have little or no obligation to do anything in return except perhaps make themselves available in the spot markets at a price of their own choosing, so the RTO must still design and operate markets to assure that adequate E&amp;AS are available when and where needed.  A high enough ICAP obligation enforced by a high enough deficiency penalty will certainly keep some old plants in service longer than they otherwise would be and might increase investment in new plants temporarily.  But the additional excess capacity will tend to reduce wholesale E&amp;AS prices, particularly during critical periods, making it harder for the ISO to balance supply and demand during such periods, while increasing the average retail prices that include the ICAP payments in addition to wholesale E&amp;AS prices.</w:t>
      </w:r>
    </w:p>
    <w:p>
      <w:pPr>
        <w:pStyle w:val="Normal"/>
        <w:rPr/>
      </w:pPr>
      <w:r>
        <w:rPr/>
        <w:t>Virtually by definition, if periodic ICAP payments have any effect they must subsidize the existence of plants that would otherwise not be there because they are not very good at responding to the occasional high E&amp;AS prices eliminated by the ICAP payments.  In effect, the ICAP payments subsidize continued operation of older, less efficient capacity, and investment in new but inflexible capacity, at the expense of newer, more flexible capacity that is more useful for reliability purposes.  The RTO must and will use its short-term E&amp;AS markets to maintain reliability either way.  An ICAP obligation enforced by a significant deficiency penalty will just increase total costs to consumers.</w:t>
      </w:r>
    </w:p>
    <w:p>
      <w:pPr>
        <w:pStyle w:val="Heading2"/>
        <w:ind w:hanging="0" w:start="0"/>
        <w:rPr/>
      </w:pPr>
      <w:bookmarkStart w:id="15" w:name="__RefHeading___Toc527933293"/>
      <w:bookmarkEnd w:id="15"/>
      <w:r>
        <w:rPr/>
        <w:t>Capacity Is (or Should Not Be) a Public Good or Ancillary Service</w:t>
      </w:r>
    </w:p>
    <w:p>
      <w:pPr>
        <w:pStyle w:val="Normal"/>
        <w:rPr/>
      </w:pPr>
      <w:r>
        <w:rPr/>
        <w:t>The reliability of an electricity system is, at some level, a “public good,” the cost of which must be socialized through a tax on consumers similar to the tax inherent in an ICAP requirement; for example, the inability to price reactive power and minute-to-minute variations in supply and demand requires the ISO to procure ancillary services to manage these effects and to socialize the costs across consumers through a tax or “uplift.”  But the fact that some services must be treated this way is not justification for treating all services this way.</w:t>
      </w:r>
    </w:p>
    <w:p>
      <w:pPr>
        <w:pStyle w:val="Normal"/>
        <w:rPr/>
      </w:pPr>
      <w:r>
        <w:rPr/>
        <w:t>Instead of starting with the premise that something called “reliability” is a public good the cost of which must be socialized, it is better to start with the premise that reliability requires many different services, many of which cannot be priced accurately with traditional, decentralized market devices.  The difference between these two starting premises is critical, and is not just a matter of semantics:  the basic question raised by public goods is how to tax consumers to pay for them, while the basic question raised by market failures is how to improve markets to reduce them.</w:t>
      </w:r>
    </w:p>
    <w:p>
      <w:pPr>
        <w:pStyle w:val="Normal"/>
        <w:rPr/>
      </w:pPr>
      <w:r>
        <w:rPr/>
        <w:t>The challenge for wholesale market design is to design innovative market arrangements that can fix market failures so that as more individual services can be priced more accurately, thereby reducing the costs that must be socialized through RTO-provided ancillary services.  ICAP payments or obligations essentially treat the provision of “capacity” as an ancillary service that must be managed by the RTO and paid for through a socialized uplift.  But there is no fundamental reason that the wholesale market cannot price E&amp;AS at market-clearing levels every hour (or even every minute) at every location on the grid, even if some averaging of these prices is necessary at the retail level.  If the Commission pushes RTOs to price E&amp;AS as accurately as possible, the use of ancillary services – including ICAP payments or obligations – to socialize costs can be minimized and the freedom of choice of final consumers (and state regulators) can be maximized.</w:t>
      </w:r>
    </w:p>
    <w:p>
      <w:pPr>
        <w:pStyle w:val="Normal"/>
        <w:rPr/>
      </w:pPr>
      <w:r>
        <w:rPr/>
        <w:t>If it is decided to treat capacity as a public good or ancillary service by imposing capacity payments or ICAP obligations, it would probably be wise to take this decision to its logical conclusion and let the RTO acquire ICAP as an ancillary service and socialize the costs across consumers as a whole.  The fiction that ICAP is a private good that individual LSEs buy from individual generators creates complexity and opportunities for gaming the RTO’s rules.</w:t>
      </w:r>
    </w:p>
    <w:p>
      <w:pPr>
        <w:pStyle w:val="Heading1"/>
        <w:ind w:hanging="0" w:start="0"/>
        <w:rPr/>
      </w:pPr>
      <w:bookmarkStart w:id="16" w:name="__RefHeading___Toc527933294"/>
      <w:bookmarkEnd w:id="16"/>
      <w:r>
        <w:rPr>
          <w:caps w:val="false"/>
          <w:smallCaps w:val="false"/>
        </w:rPr>
        <w:t>CONCLUSIONS  AND  RECOMMENDATIONS</w:t>
      </w:r>
    </w:p>
    <w:p>
      <w:pPr>
        <w:pStyle w:val="Heading2"/>
        <w:ind w:hanging="0" w:start="0"/>
        <w:rPr/>
      </w:pPr>
      <w:bookmarkStart w:id="17" w:name="__RefHeading___Toc527933295"/>
      <w:bookmarkEnd w:id="17"/>
      <w:r>
        <w:rPr/>
        <w:t>E&amp;AS Spot Pricing Can and Should Assure Reliability</w:t>
      </w:r>
    </w:p>
    <w:p>
      <w:pPr>
        <w:pStyle w:val="Normal"/>
        <w:rPr/>
      </w:pPr>
      <w:r>
        <w:rPr/>
        <w:t>The best way to assure reliability in a competitive electricity market is to assure that RTOs operate efficient spot markets in E&amp;AS that reflect the real-time actions and effects that ultimately determine reliability.  If this is done, the physical markets will always clear and all suppliers of capacity and all loads that manage their demand will be adequately compensated through the market-clearing prices they are paid or pay for E&amp;AS.  There will be no need to require the RTO to define how much of what kind of “capacity” should be paid how much simply for existing as opposed to providing useful E&amp;AS, and how the resulting costs should be socialized across consumers.  Conversely, to the extent that E&amp;AS spot markets are not designed or allowed to clear, the RTO will have to use ancillary services and cost socialization to maintain reliability, with less help from demand-side responses; if the RTO’s role increases very far in this direction, competition will be inefficient, distorted and ineffective.</w:t>
      </w:r>
    </w:p>
    <w:p>
      <w:pPr>
        <w:pStyle w:val="Heading2"/>
        <w:ind w:hanging="0" w:start="0"/>
        <w:rPr/>
      </w:pPr>
      <w:bookmarkStart w:id="18" w:name="__RefHeading___Toc527933296"/>
      <w:bookmarkEnd w:id="18"/>
      <w:r>
        <w:rPr/>
        <w:t>Providing Price Stability Is the Function of Contracts</w:t>
      </w:r>
    </w:p>
    <w:p>
      <w:pPr>
        <w:pStyle w:val="Normal"/>
        <w:rPr/>
      </w:pPr>
      <w:r>
        <w:rPr/>
        <w:t>The function of electricity spot markets is to provide and price the services required for reliable and efficient operations of an electricity system.  The function of contracts is to protect generators, middlemen and final consumers from the risks of spot market prices to the extent they mutually want price stability.  These functions should not be confused by such devices as capacity payments or ICAP obligations that, in effect, use wholesale market rules to impose an inefficient and mandatory form of price insurance on everybody.  If the wholesale spot markets price as many E&amp;AS as practical as accurately as practical, generators and competitive final consumers can decide for themselves how much price insurance they want to buy for themselves, and the state regulators responsible for retail markets can decide whether and how they want to provide socialized price insurance for some or all consumers in their individual states.  The Commission should seek to maximize the freedom of choice at this level.</w:t>
      </w:r>
    </w:p>
    <w:p>
      <w:pPr>
        <w:pStyle w:val="Heading2"/>
        <w:ind w:hanging="0" w:start="0"/>
        <w:rPr/>
      </w:pPr>
      <w:bookmarkStart w:id="19" w:name="__RefHeading___Toc527933297"/>
      <w:bookmarkEnd w:id="19"/>
      <w:r>
        <w:rPr/>
        <w:t>Any Capacity Payments/Obligations Should Be Transitional</w:t>
      </w:r>
    </w:p>
    <w:p>
      <w:pPr>
        <w:pStyle w:val="Normal"/>
        <w:spacing w:before="0" w:after="240"/>
        <w:rPr/>
      </w:pPr>
      <w:r>
        <w:rPr/>
        <w:t>The Commission may decide that RTO spot markets in E&amp;AS are so inefficient or – perhaps more importantly – so little understood or trusted by the public that they cannot be relied upon to provide reliability at this time, and hence RTOs should impose some sort of capacity payment or ICAP obligation in the short run.  In this case, the Commission should make it clear that the ultimate objective is efficient wholesale E&amp;AS markets that can clear without separate capacity payments or obligations, that RTOs should continue development of such markets on an expedited basis, and that any separate capacity payments or obligations are transitional devices that must end at some defined time in the near future.</w:t>
      </w:r>
    </w:p>
    <w:sectPr>
      <w:headerReference w:type="default" r:id="rId10"/>
      <w:headerReference w:type="first" r:id="rId11"/>
      <w:footerReference w:type="default" r:id="rId12"/>
      <w:footerReference w:type="first" r:id="rId13"/>
      <w:footnotePr>
        <w:numFmt w:val="decimal"/>
      </w:footnotePr>
      <w:type w:val="nextPage"/>
      <w:pgSz w:w="12240" w:h="15840"/>
      <w:pgMar w:left="180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spacing w:before="0" w:after="24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spacing w:before="0" w:after="24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r>
    <w:r>
      <mc:AlternateContent>
        <mc:Choice Requires="wps">
          <w:drawing>
            <wp:anchor behindDoc="0" distT="0" distB="0" distL="0" distR="0" simplePos="0" locked="0" layoutInCell="0" allowOverlap="1" relativeHeight="22">
              <wp:simplePos x="0" y="0"/>
              <wp:positionH relativeFrom="margin">
                <wp:align>center</wp:align>
              </wp:positionH>
              <wp:positionV relativeFrom="paragraph">
                <wp:posOffset>635</wp:posOffset>
              </wp:positionV>
              <wp:extent cx="1530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spacing w:before="0" w:after="240"/>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9pt;mso-position-horizontal:center;mso-position-horizontal-relative:margin">
              <v:fill opacity="0f"/>
              <v:textbox inset="0in,0in,0in,0in">
                <w:txbxContent>
                  <w:p>
                    <w:pPr>
                      <w:pStyle w:val="Footer"/>
                      <w:spacing w:before="0" w:after="240"/>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auto" w:line="240" w:before="0" w:after="120"/>
        <w:ind w:hanging="360" w:start="360" w:end="0"/>
        <w:rPr/>
      </w:pPr>
      <w:r>
        <w:rPr>
          <w:rStyle w:val="FootnoteCharacters"/>
        </w:rPr>
        <w:footnoteRef/>
      </w:r>
      <w:r>
        <w:rPr/>
        <w:t xml:space="preserve"> </w:t>
      </w:r>
      <w:r>
        <w:rPr/>
        <w:tab/>
        <w:t>For simplicity, the discussion here assumes that the pricing/settlement period is an hour, even though shorter periods are better and are used in most pool-based markets.</w:t>
      </w:r>
    </w:p>
  </w:footnote>
  <w:footnote w:id="3">
    <w:p>
      <w:pPr>
        <w:pStyle w:val="FootnoteText"/>
        <w:spacing w:lineRule="auto" w:line="240" w:before="0" w:after="120"/>
        <w:ind w:hanging="360" w:start="360" w:end="0"/>
        <w:rPr/>
      </w:pPr>
      <w:r>
        <w:rPr>
          <w:rStyle w:val="FootnoteCharacters"/>
        </w:rPr>
        <w:footnoteRef/>
      </w:r>
      <w:r>
        <w:rPr/>
        <w:t xml:space="preserve"> </w:t>
      </w:r>
      <w:r>
        <w:rPr/>
        <w:tab/>
        <w:t>The conceptual discussion here is in terms of a hypothetical compound commodity called “E&amp;AS,” in order to emphasize that if capacity has any value it is because total generator revenue from ALL services provided, not just energy, is too low.</w:t>
      </w:r>
    </w:p>
  </w:footnote>
  <w:footnote w:id="4">
    <w:p>
      <w:pPr>
        <w:pStyle w:val="FootnoteText"/>
        <w:spacing w:lineRule="auto" w:line="240" w:before="0" w:after="120"/>
        <w:ind w:hanging="360" w:start="360" w:end="0"/>
        <w:rPr/>
      </w:pPr>
      <w:r>
        <w:rPr>
          <w:rStyle w:val="FootnoteCharacters"/>
        </w:rPr>
        <w:footnoteRef/>
      </w:r>
      <w:r>
        <w:rPr/>
        <w:t xml:space="preserve"> </w:t>
      </w:r>
      <w:r>
        <w:rPr/>
        <w:tab/>
        <w:t>Although each E&amp;AS is priced separately in the wholesale spot market, consumers see a single rolled-in energy price.  But hourly energy prices to hourly-metered consumers will presumably reflect all the hourly E&amp;AS prices and hence give consumers the right incentives to reduce demand at critical times.</w:t>
      </w:r>
    </w:p>
  </w:footnote>
  <w:footnote w:id="5">
    <w:p>
      <w:pPr>
        <w:pStyle w:val="FootnoteText"/>
        <w:spacing w:lineRule="auto" w:line="240" w:before="0" w:after="120"/>
        <w:ind w:hanging="360" w:start="360" w:end="0"/>
        <w:rPr/>
      </w:pPr>
      <w:r>
        <w:rPr>
          <w:rStyle w:val="FootnoteCharacters"/>
        </w:rPr>
        <w:footnoteRef/>
      </w:r>
      <w:r>
        <w:rPr/>
        <w:t xml:space="preserve"> </w:t>
      </w:r>
      <w:r>
        <w:rPr/>
        <w:tab/>
        <w:t>Moral hazard is a term of art used in the actuarial world to describe the effect that insurance inevitably has on incentives.  Any rational person, not just an immoral one, will take less care to avoid accidents or other undesirable outcomes if the resulting costs will be shared with others.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tabs>
        <w:tab w:val="clear" w:pos="4320"/>
        <w:tab w:val="clear" w:pos="8640"/>
        <w:tab w:val="right" w:pos="9000" w:leader="none"/>
      </w:tabs>
      <w:spacing w:lineRule="auto" w:line="240" w:before="0" w:after="0"/>
      <w:rPr>
        <w:i/>
        <w:i/>
        <w:sz w:val="22"/>
      </w:rPr>
    </w:pPr>
    <w:r>
      <w:rPr>
        <w:i/>
        <w:sz w:val="22"/>
      </w:rPr>
      <w:t>LER Draft, August 16, 2000</w:t>
      <w:tab/>
      <w:t xml:space="preserve">Page </w:t>
    </w:r>
    <w:r>
      <w:rPr>
        <w:i/>
        <w:sz w:val="22"/>
      </w:rPr>
      <w:fldChar w:fldCharType="begin"/>
    </w:r>
    <w:r>
      <w:rPr>
        <w:sz w:val="22"/>
        <w:i/>
      </w:rPr>
      <w:instrText xml:space="preserve"> PAGE </w:instrText>
    </w:r>
    <w:r>
      <w:rPr>
        <w:sz w:val="22"/>
        <w:i/>
      </w:rPr>
      <w:fldChar w:fldCharType="separate"/>
    </w:r>
    <w:r>
      <w:rPr>
        <w:sz w:val="22"/>
        <w:i/>
      </w:rPr>
      <w:t>0</w:t>
    </w:r>
    <w:r>
      <w:rPr>
        <w:sz w:val="22"/>
        <w:i/>
      </w:rPr>
      <w:fldChar w:fldCharType="end"/>
    </w:r>
  </w:p>
  <w:p>
    <w:pPr>
      <w:pStyle w:val="Header"/>
      <w:tabs>
        <w:tab w:val="clear" w:pos="4320"/>
        <w:tab w:val="clear" w:pos="8640"/>
        <w:tab w:val="right" w:pos="9000" w:leader="none"/>
      </w:tabs>
      <w:spacing w:lineRule="auto" w:line="240" w:before="0" w:after="0"/>
      <w:rPr>
        <w:i/>
        <w:i/>
        <w:sz w:val="22"/>
      </w:rPr>
    </w:pPr>
    <w:r>
      <w:rPr>
        <w:i/>
        <w:sz w:val="22"/>
      </w:rPr>
    </w:r>
  </w:p>
  <w:p>
    <w:pPr>
      <w:pStyle w:val="Header"/>
      <w:tabs>
        <w:tab w:val="clear" w:pos="4320"/>
        <w:tab w:val="clear" w:pos="8640"/>
        <w:tab w:val="right" w:pos="9000" w:leader="none"/>
      </w:tabs>
      <w:spacing w:lineRule="auto" w:line="240" w:before="0" w:after="0"/>
      <w:rPr>
        <w:i/>
        <w:i/>
        <w:sz w:val="22"/>
      </w:rPr>
    </w:pPr>
    <w:r>
      <w:rPr>
        <w:i/>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before="0" w:after="0"/>
      <w:rPr>
        <w:sz w:val="22"/>
      </w:rPr>
    </w:pPr>
    <w:r>
      <w:rPr>
        <w:sz w:val="22"/>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rPr/>
    </w:lvl>
    <w:lvl w:ilvl="1">
      <w:start w:val="1"/>
      <w:pStyle w:val="Heading2"/>
      <w:numFmt w:val="decimal"/>
      <w:lvlText w:val="%1.%2"/>
      <w:lvlJc w:val="start"/>
      <w:pPr>
        <w:tabs>
          <w:tab w:val="num" w:pos="576"/>
        </w:tabs>
        <w:ind w:start="576" w:hanging="576"/>
      </w:pPr>
      <w:rPr/>
    </w:lvl>
    <w:lvl w:ilvl="2">
      <w:start w:val="1"/>
      <w:pStyle w:val="Heading3"/>
      <w:numFmt w:val="decimal"/>
      <w:lvlText w:val="%1.%2.%3"/>
      <w:lvlJc w:val="start"/>
      <w:pPr>
        <w:tabs>
          <w:tab w:val="num" w:pos="720"/>
        </w:tabs>
        <w:ind w:start="720" w:hanging="720"/>
      </w:pPr>
      <w:rPr/>
    </w:lvl>
    <w:lvl w:ilvl="3">
      <w:start w:val="1"/>
      <w:pStyle w:val="Heading4"/>
      <w:numFmt w:val="decimal"/>
      <w:lvlText w:val="%1.%2.%3.%4"/>
      <w:lvlJc w:val="start"/>
      <w:pPr>
        <w:tabs>
          <w:tab w:val="num" w:pos="864"/>
        </w:tabs>
        <w:ind w:start="864" w:hanging="864"/>
      </w:pPr>
      <w:r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decimal"/>
      <w:lvlText w:val="%1.%2.%3.%4.%5.%6.%7.%8.%9"/>
      <w:lvlJc w:val="start"/>
      <w:pPr>
        <w:tabs>
          <w:tab w:val="num" w:pos="1584"/>
        </w:tabs>
        <w:ind w:start="1584" w:hanging="1584"/>
      </w:pPr>
      <w:rPr/>
    </w:lvl>
  </w:abstractNum>
  <w:abstractNum w:abstractNumId="2">
    <w:lvl w:ilvl="0">
      <w:start w:val="1"/>
      <w:numFmt w:val="bullet"/>
      <w:lvlText w:val=""/>
      <w:lvlJc w:val="start"/>
      <w:pPr>
        <w:tabs>
          <w:tab w:val="num" w:pos="792"/>
        </w:tabs>
        <w:ind w:start="792"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440"/>
        </w:tabs>
        <w:ind w:start="1440" w:hanging="360"/>
      </w:p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360" w:before="0" w:after="240"/>
      <w:jc w:val="both"/>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504" w:leader="none"/>
      </w:tabs>
      <w:spacing w:before="120" w:after="120"/>
      <w:jc w:val="start"/>
      <w:outlineLvl w:val="0"/>
    </w:pPr>
    <w:rPr>
      <w:b/>
      <w:bCs/>
      <w:caps/>
      <w:sz w:val="28"/>
    </w:rPr>
  </w:style>
  <w:style w:type="paragraph" w:styleId="Heading2">
    <w:name w:val="heading 2"/>
    <w:basedOn w:val="Normal"/>
    <w:next w:val="Normal"/>
    <w:qFormat/>
    <w:pPr>
      <w:keepNext w:val="true"/>
      <w:numPr>
        <w:ilvl w:val="1"/>
        <w:numId w:val="1"/>
      </w:numPr>
      <w:spacing w:lineRule="auto" w:line="240" w:before="120" w:after="180"/>
      <w:outlineLvl w:val="1"/>
    </w:pPr>
    <w:rPr>
      <w:rFonts w:cs="Arial"/>
      <w:b/>
      <w:bCs/>
      <w:iCs/>
      <w:smallCaps/>
      <w:szCs w:val="28"/>
    </w:rPr>
  </w:style>
  <w:style w:type="paragraph" w:styleId="Heading3">
    <w:name w:val="heading 3"/>
    <w:basedOn w:val="Normal"/>
    <w:next w:val="Normal"/>
    <w:qFormat/>
    <w:pPr>
      <w:keepNext w:val="true"/>
      <w:numPr>
        <w:ilvl w:val="2"/>
        <w:numId w:val="1"/>
      </w:numPr>
      <w:spacing w:lineRule="auto" w:line="240" w:before="0" w:after="180"/>
      <w:outlineLvl w:val="2"/>
    </w:pPr>
    <w:rPr>
      <w:rFonts w:ascii="Arial" w:hAnsi="Arial" w:cs="Arial"/>
      <w:b/>
      <w:bCs/>
      <w:i/>
      <w:sz w:val="22"/>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2">
    <w:name w:val="WW8Num2z2"/>
    <w:qFormat/>
    <w:rPr>
      <w:rFonts w:ascii="Wingdings" w:hAnsi="Wingdings" w:cs="Wingdings"/>
    </w:rPr>
  </w:style>
  <w:style w:type="character" w:styleId="WW8Num2z4">
    <w:name w:val="WW8Num2z4"/>
    <w:qFormat/>
    <w:rPr>
      <w:rFonts w:ascii="Courier New" w:hAnsi="Courier New"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LineNumber">
    <w:name w:val="lin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spacing w:lineRule="auto" w:line="240"/>
      <w:ind w:hanging="0" w:start="720" w:end="720"/>
      <w:jc w:val="center"/>
    </w:pPr>
    <w:rPr>
      <w:i/>
      <w:iCs/>
      <w:sz w:val="28"/>
    </w:rPr>
  </w:style>
  <w:style w:type="paragraph" w:styleId="FootnoteText">
    <w:name w:val="footnote text"/>
    <w:basedOn w:val="Normal"/>
    <w:pPr>
      <w:tabs>
        <w:tab w:val="clear" w:pos="720"/>
        <w:tab w:val="left" w:pos="360" w:leader="none"/>
      </w:tabs>
      <w:spacing w:lineRule="auto" w:line="240" w:before="0" w:after="120"/>
      <w:ind w:hanging="360" w:start="360" w:end="0"/>
    </w:pPr>
    <w:rPr>
      <w:sz w:val="22"/>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left" w:pos="360" w:leader="none"/>
        <w:tab w:val="right" w:pos="9000" w:leader="dot"/>
      </w:tabs>
      <w:spacing w:before="120" w:after="0"/>
    </w:pPr>
    <w:rPr>
      <w:szCs w:val="28"/>
      <w:lang w:val="en-CA" w:eastAsia="en-CA"/>
    </w:rPr>
  </w:style>
  <w:style w:type="paragraph" w:styleId="TOC2">
    <w:name w:val="toc 2"/>
    <w:basedOn w:val="Normal"/>
    <w:next w:val="Normal"/>
    <w:pPr>
      <w:tabs>
        <w:tab w:val="left" w:pos="720" w:leader="none"/>
        <w:tab w:val="right" w:pos="8990" w:leader="dot"/>
      </w:tabs>
      <w:spacing w:lineRule="auto" w:line="240" w:before="0" w:after="60"/>
      <w:ind w:hanging="0" w:start="288" w:end="0"/>
    </w:pPr>
    <w:rPr>
      <w:lang w:val="en-CA" w:eastAsia="en-CA"/>
    </w:rPr>
  </w:style>
  <w:style w:type="paragraph" w:styleId="TOC3">
    <w:name w:val="toc 3"/>
    <w:basedOn w:val="Normal"/>
    <w:next w:val="Normal"/>
    <w:pPr>
      <w:tabs>
        <w:tab w:val="clear" w:pos="720"/>
        <w:tab w:val="left" w:pos="1152" w:leader="none"/>
        <w:tab w:val="right" w:pos="8986" w:leader="dot"/>
      </w:tabs>
      <w:spacing w:lineRule="auto" w:line="240" w:before="0" w:after="60"/>
      <w:ind w:hanging="0" w:start="576" w:end="0"/>
    </w:pPr>
    <w:rPr>
      <w:szCs w:val="22"/>
      <w:lang w:val="en-CA" w:eastAsia="en-CA"/>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Indent">
    <w:name w:val="Body Text Indent"/>
    <w:basedOn w:val="Normal"/>
    <w:pPr>
      <w:ind w:hanging="0" w:start="7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package" Target="embeddings/oleObject1.pptx"/><Relationship Id="rId7" Type="http://schemas.openxmlformats.org/officeDocument/2006/relationships/image" Target="media/image1.wmf"/><Relationship Id="rId8" Type="http://schemas.openxmlformats.org/officeDocument/2006/relationships/package" Target="embeddings/oleObject2.pptx"/><Relationship Id="rId9" Type="http://schemas.openxmlformats.org/officeDocument/2006/relationships/image" Target="media/image2.wmf"/><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2001-10-17T16:09:00Z</dcterms:created>
  <dc:creator>Valued Sony Customer</dc:creator>
  <dc:description/>
  <dc:language>en-CA</dc:language>
  <cp:lastModifiedBy>Larry E. Ruff</cp:lastModifiedBy>
  <cp:lastPrinted>2001-10-17T09:40:00Z</cp:lastPrinted>
  <dcterms:modified xsi:type="dcterms:W3CDTF">2001-10-17T16:09:00Z</dcterms:modified>
  <cp:revision>2</cp:revision>
  <dc:subject/>
  <dc:title>UNITED STATES OF AMERICA</dc:title>
</cp:coreProperties>
</file>