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896926270"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31,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ind w:end="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Timing and structure of Back-up Fuel Supply Agreement, put to Enron (Agreement and Guarantee), and Replacement Fuel Contract.</w:t>
      </w:r>
    </w:p>
    <w:p>
      <w:pPr>
        <w:pStyle w:val="BodyText2"/>
        <w:bidi w:val="0"/>
        <w:spacing w:before="0" w:after="0"/>
        <w:ind w:end="0"/>
        <w:jc w:val="both"/>
        <w:rPr>
          <w:b/>
          <w:color w:val="auto"/>
        </w:rPr>
      </w:pPr>
      <w:r>
        <w:rPr>
          <w:b/>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By March 31, 2002 Lenders to complete evaluation of Replacement arrangements and indicate acceptance or rejection.</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end="0"/>
        <w:jc w:val="both"/>
        <w:rPr>
          <w:b/>
          <w:color w:val="auto"/>
        </w:rPr>
      </w:pPr>
      <w:r>
        <w:rPr>
          <w:b/>
          <w:color w:val="auto"/>
        </w:rPr>
      </w:r>
    </w:p>
    <w:p>
      <w:pPr>
        <w:pStyle w:val="BodyText2"/>
        <w:bidi w:val="0"/>
        <w:spacing w:before="0" w:after="0"/>
        <w:ind w:hanging="360" w:start="360" w:end="0"/>
        <w:jc w:val="both"/>
        <w:rPr>
          <w:b/>
          <w:color w:val="auto"/>
        </w:rPr>
      </w:pPr>
      <w:r>
        <w:rPr>
          <w:b/>
          <w:color w:val="auto"/>
        </w:rPr>
        <w:t>Current status of YPF CP’s</w:t>
      </w:r>
    </w:p>
    <w:p>
      <w:pPr>
        <w:pStyle w:val="BodyText2"/>
        <w:bidi w:val="0"/>
        <w:spacing w:before="0" w:after="0"/>
        <w:ind w:hanging="360" w:start="360" w:end="0"/>
        <w:jc w:val="both"/>
        <w:rPr>
          <w:color w:val="auto"/>
        </w:rPr>
      </w:pPr>
      <w:r>
        <w:rPr>
          <w:color w:val="auto"/>
        </w:rPr>
      </w:r>
    </w:p>
    <w:p>
      <w:pPr>
        <w:pStyle w:val="Normal"/>
        <w:bidi w:val="0"/>
        <w:spacing w:lineRule="atLeast" w:line="240"/>
        <w:jc w:val="start"/>
        <w:rPr>
          <w:rFonts w:ascii="Arial" w:hAnsi="Arial"/>
          <w:i/>
          <w:i/>
          <w:color w:val="000000"/>
          <w:sz w:val="24"/>
        </w:rPr>
      </w:pPr>
      <w:r>
        <w:rPr>
          <w:rFonts w:ascii="Arial" w:hAnsi="Arial"/>
          <w:color w:val="000000"/>
          <w:sz w:val="24"/>
        </w:rPr>
        <w:t>Under the GSA the project has a unilateral right to terminate if any of the following conditions precedent are not met by May 4, 2001</w:t>
      </w:r>
      <w:r>
        <w:rPr>
          <w:rFonts w:ascii="Arial" w:hAnsi="Arial"/>
          <w:i/>
          <w:color w:val="000000"/>
          <w:sz w:val="24"/>
        </w:rPr>
        <w:t>:</w:t>
      </w:r>
    </w:p>
    <w:p>
      <w:pPr>
        <w:pStyle w:val="Normal"/>
        <w:bidi w:val="0"/>
        <w:spacing w:lineRule="atLeast" w:line="240"/>
        <w:jc w:val="start"/>
        <w:rPr>
          <w:rFonts w:ascii="Arial" w:hAnsi="Arial"/>
          <w:color w:val="000000"/>
          <w:sz w:val="24"/>
        </w:rPr>
      </w:pPr>
      <w:r>
        <w:rPr>
          <w:rFonts w:ascii="Arial" w:hAnsi="Arial"/>
          <w:color w:val="000000"/>
          <w:sz w:val="24"/>
        </w:rPr>
        <w:t>1.</w:t>
        <w:tab/>
        <w:t>Closing of    non-recourse project financing;</w:t>
      </w:r>
    </w:p>
    <w:p>
      <w:pPr>
        <w:pStyle w:val="Normal"/>
        <w:bidi w:val="0"/>
        <w:spacing w:lineRule="atLeast" w:line="240"/>
        <w:jc w:val="start"/>
        <w:rPr>
          <w:rFonts w:ascii="Arial" w:hAnsi="Arial"/>
          <w:color w:val="000000"/>
          <w:sz w:val="24"/>
        </w:rPr>
      </w:pPr>
      <w:r>
        <w:rPr>
          <w:rFonts w:ascii="Arial" w:hAnsi="Arial"/>
          <w:color w:val="000000"/>
          <w:sz w:val="24"/>
        </w:rPr>
        <w:t>2.</w:t>
        <w:tab/>
        <w:t>All required government approvals have been obtained;</w:t>
      </w:r>
    </w:p>
    <w:p>
      <w:pPr>
        <w:pStyle w:val="Normal"/>
        <w:bidi w:val="0"/>
        <w:spacing w:lineRule="atLeast" w:line="240"/>
        <w:jc w:val="start"/>
        <w:rPr>
          <w:rFonts w:ascii="Arial" w:hAnsi="Arial"/>
          <w:color w:val="000000"/>
          <w:sz w:val="24"/>
        </w:rPr>
      </w:pPr>
      <w:r>
        <w:rPr>
          <w:rFonts w:ascii="Arial" w:hAnsi="Arial"/>
          <w:color w:val="000000"/>
          <w:sz w:val="24"/>
        </w:rPr>
        <w:t>3.</w:t>
        <w:tab/>
        <w:t>Plant has achieved Substantial Completion (480 MW on gas);</w:t>
      </w:r>
    </w:p>
    <w:p>
      <w:pPr>
        <w:pStyle w:val="Normal"/>
        <w:bidi w:val="0"/>
        <w:ind w:hanging="640" w:start="640"/>
        <w:jc w:val="start"/>
        <w:rPr>
          <w:rFonts w:ascii="Arial" w:hAnsi="Arial"/>
          <w:i/>
          <w:i/>
          <w:color w:val="000000"/>
          <w:sz w:val="24"/>
        </w:rPr>
      </w:pPr>
      <w:r>
        <w:rPr>
          <w:rFonts w:ascii="Arial" w:hAnsi="Arial"/>
          <w:color w:val="000000"/>
          <w:sz w:val="24"/>
        </w:rPr>
        <w:t>4.</w:t>
        <w:tab/>
        <w:t>The Start Date has occurred.</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Proposed Modifications to GSA</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color w:val="auto"/>
        </w:rPr>
      </w:pPr>
      <w:r>
        <w:rPr>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2"/>
        </w:numPr>
        <w:bidi w:val="0"/>
        <w:jc w:val="start"/>
        <w:rPr>
          <w:rFonts w:ascii="Arial" w:hAnsi="Arial"/>
          <w:color w:val="000000"/>
          <w:sz w:val="24"/>
        </w:rPr>
      </w:pPr>
      <w:r>
        <w:rPr>
          <w:rFonts w:ascii="Arial" w:hAnsi="Arial"/>
          <w:color w:val="000000"/>
          <w:sz w:val="24"/>
        </w:rPr>
        <w:t>lower price    (current market is approximately US$1.00 per mmbtu vs contract price of US$1.30)</w:t>
      </w:r>
    </w:p>
    <w:p>
      <w:pPr>
        <w:pStyle w:val="Normal"/>
        <w:numPr>
          <w:ilvl w:val="0"/>
          <w:numId w:val="2"/>
        </w:numPr>
        <w:bidi w:val="0"/>
        <w:jc w:val="start"/>
        <w:rPr>
          <w:rFonts w:ascii="Arial" w:hAnsi="Arial"/>
          <w:color w:val="000000"/>
          <w:sz w:val="24"/>
        </w:rPr>
      </w:pPr>
      <w:r>
        <w:rPr>
          <w:rFonts w:ascii="Arial" w:hAnsi="Arial"/>
          <w:color w:val="000000"/>
          <w:sz w:val="24"/>
        </w:rPr>
        <w:t>eliminate WTI/CPI basis risk (&amp; GPDA) ; the GSA adjusts based on shifts in WTI whereas the PPA adjusts based on shifts in the US CPI. Enron &amp; Shell have shouldered this risk through a swap entitled the Gas Price Differential Agreement which cause the Sponsors to contribute funds if TBS is unable to pay its obligations under the gas supply and transportation agreements as a result of the fuel price mismatch.</w:t>
      </w:r>
    </w:p>
    <w:p>
      <w:pPr>
        <w:pStyle w:val="Normal"/>
        <w:numPr>
          <w:ilvl w:val="0"/>
          <w:numId w:val="2"/>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 xml:space="preserve">Potential Bolivian Supplies </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i/>
          <w:i/>
          <w:color w:val="auto"/>
        </w:rPr>
      </w:pPr>
      <w:r>
        <w:rPr>
          <w:i/>
          <w:color w:val="auto"/>
        </w:rPr>
        <w:t>[Enron to provide info on availble suppliers]</w:t>
      </w:r>
    </w:p>
    <w:p>
      <w:pPr>
        <w:pStyle w:val="BodyText2"/>
        <w:bidi w:val="0"/>
        <w:spacing w:before="0" w:after="0"/>
        <w:ind w:hanging="360" w:start="360" w:end="0"/>
        <w:jc w:val="both"/>
        <w:rPr>
          <w:b/>
          <w:color w:val="auto"/>
        </w:rPr>
      </w:pPr>
      <w:r>
        <w:rPr>
          <w:b/>
          <w:color w:val="auto"/>
        </w:rPr>
      </w:r>
    </w:p>
    <w:p>
      <w:pPr>
        <w:pStyle w:val="BodyText2"/>
        <w:bidi w:val="0"/>
        <w:spacing w:before="0" w:after="0"/>
        <w:ind w:end="0"/>
        <w:jc w:val="both"/>
        <w:rPr>
          <w:b/>
          <w:color w:val="auto"/>
        </w:rPr>
      </w:pPr>
      <w:r>
        <w:rPr>
          <w:b/>
          <w:color w:val="auto"/>
        </w:rPr>
        <w:t>Vintage Cuiaba II transaction with Vintage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As an example of what can be accomplished in the market place, Enron successfully negotiated a contract last year with Vintage with the following terms:</w:t>
      </w:r>
    </w:p>
    <w:p>
      <w:pPr>
        <w:pStyle w:val="BodyText2"/>
        <w:bidi w:val="0"/>
        <w:spacing w:before="0" w:after="0"/>
        <w:ind w:end="0"/>
        <w:jc w:val="both"/>
        <w:rPr>
          <w:color w:val="auto"/>
        </w:rPr>
      </w:pPr>
      <w:r>
        <w:rPr>
          <w:color w:val="auto"/>
        </w:rPr>
      </w:r>
    </w:p>
    <w:p>
      <w:pPr>
        <w:pStyle w:val="Normal"/>
        <w:bidi w:val="0"/>
        <w:spacing w:lineRule="atLeast" w:line="240"/>
        <w:jc w:val="start"/>
        <w:rPr>
          <w:rFonts w:ascii="Arial" w:hAnsi="Arial"/>
          <w:color w:val="000000"/>
          <w:sz w:val="24"/>
        </w:rPr>
      </w:pPr>
      <w:r>
        <w:rPr>
          <w:rFonts w:ascii="Arial" w:hAnsi="Arial"/>
          <w:color w:val="000000"/>
          <w:sz w:val="24"/>
        </w:rPr>
        <w:t>Executed June 2000</w:t>
      </w:r>
    </w:p>
    <w:p>
      <w:pPr>
        <w:pStyle w:val="Normal"/>
        <w:bidi w:val="0"/>
        <w:spacing w:lineRule="atLeast" w:line="240"/>
        <w:ind w:hanging="0" w:start="360"/>
        <w:jc w:val="start"/>
        <w:rPr>
          <w:rFonts w:ascii="Arial" w:hAnsi="Arial"/>
          <w:color w:val="000000"/>
          <w:sz w:val="24"/>
        </w:rPr>
      </w:pPr>
      <w:r>
        <w:rPr>
          <w:rFonts w:ascii="Arial" w:hAnsi="Arial"/>
          <w:color w:val="000000"/>
          <w:sz w:val="24"/>
        </w:rPr>
        <w:t>12-Year GSA, to commence at our option between July 1, 2001-2003</w:t>
      </w:r>
    </w:p>
    <w:p>
      <w:pPr>
        <w:pStyle w:val="Normal"/>
        <w:bidi w:val="0"/>
        <w:spacing w:lineRule="atLeast" w:line="240"/>
        <w:ind w:hanging="0" w:start="360"/>
        <w:jc w:val="start"/>
        <w:rPr>
          <w:rFonts w:ascii="Arial" w:hAnsi="Arial"/>
          <w:color w:val="000000"/>
          <w:sz w:val="24"/>
        </w:rPr>
      </w:pPr>
      <w:r>
        <w:rPr>
          <w:rFonts w:ascii="Arial" w:hAnsi="Arial"/>
          <w:color w:val="000000"/>
          <w:sz w:val="24"/>
        </w:rPr>
        <w:t xml:space="preserve">Fixed price of $1.00/MMBtu.    </w:t>
      </w:r>
    </w:p>
    <w:p>
      <w:pPr>
        <w:pStyle w:val="Normal"/>
        <w:bidi w:val="0"/>
        <w:spacing w:lineRule="atLeast" w:line="240"/>
        <w:ind w:hanging="0" w:start="360"/>
        <w:jc w:val="start"/>
        <w:rPr>
          <w:rFonts w:ascii="Arial" w:hAnsi="Arial"/>
          <w:color w:val="000000"/>
          <w:sz w:val="24"/>
        </w:rPr>
      </w:pPr>
      <w:r>
        <w:rPr>
          <w:rFonts w:ascii="Arial" w:hAnsi="Arial"/>
          <w:color w:val="000000"/>
          <w:sz w:val="24"/>
        </w:rPr>
        <w:t>Volumes of 20,300MMBtu/day (25% of daily requirement for 480 MW Power Plant)</w:t>
      </w:r>
    </w:p>
    <w:p>
      <w:pPr>
        <w:pStyle w:val="BodyText2"/>
        <w:bidi w:val="0"/>
        <w:spacing w:before="0" w:after="0"/>
        <w:ind w:end="0"/>
        <w:jc w:val="both"/>
        <w:rPr>
          <w:color w:val="auto"/>
        </w:rPr>
      </w:pPr>
      <w:r>
        <w:rPr>
          <w:color w:val="auto"/>
        </w:rPr>
      </w:r>
    </w:p>
    <w:p>
      <w:pPr>
        <w:pStyle w:val="BodyText2"/>
        <w:bidi w:val="0"/>
        <w:spacing w:before="0" w:after="0"/>
        <w:ind w:end="0"/>
        <w:jc w:val="both"/>
        <w:rPr>
          <w:b/>
          <w:color w:val="auto"/>
        </w:rPr>
      </w:pPr>
      <w:r>
        <w:rPr>
          <w:b/>
          <w:color w:val="auto"/>
        </w:rPr>
        <w:t xml:space="preserve">In addition, the Sponsors request that the Lenders consider an alternate approach to the Furnas Consent to assignment and the Eletrobras Guarantee confirmation.    </w:t>
      </w:r>
    </w:p>
    <w:p>
      <w:pPr>
        <w:pStyle w:val="BodyText2"/>
        <w:bidi w:val="0"/>
        <w:spacing w:before="0" w:after="0"/>
        <w:ind w:end="0"/>
        <w:jc w:val="both"/>
        <w:rPr>
          <w:b/>
          <w:color w:val="auto"/>
        </w:rPr>
      </w:pPr>
      <w:r>
        <w:rPr>
          <w:b/>
          <w:color w:val="auto"/>
        </w:rPr>
      </w:r>
    </w:p>
    <w:p>
      <w:pPr>
        <w:pStyle w:val="BodyText2"/>
        <w:bidi w:val="0"/>
        <w:spacing w:before="0" w:after="0"/>
        <w:ind w:end="0"/>
        <w:jc w:val="both"/>
        <w:rPr>
          <w:color w:val="auto"/>
        </w:rPr>
      </w:pPr>
      <w:r>
        <w:rPr>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The alternate approach to getting comfortable would consist of the following:</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1:</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color w:val="auto"/>
        </w:rPr>
        <w:t xml:space="preserve">Attempt to get Eletrobras to confirm their guarantee without involving Furnas.    </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t>Attempt to get Furnas to sign the original Consent from Assumption Agreement and if they refuse r</w:t>
      </w:r>
      <w:r>
        <w:rPr>
          <w:color w:val="auto"/>
        </w:rPr>
        <w:t xml:space="preserve">ely on i) the irrefutable obligation to sign evidenced by the Assumption Agreement and ii) rely on Eletrobras’ performance guarantee under Clause 41 of the PPA and Paragraphs 7 and 10 of the Deed of Assignment.    </w:t>
      </w:r>
    </w:p>
    <w:p>
      <w:pPr>
        <w:pStyle w:val="BodyText2"/>
        <w:bidi w:val="0"/>
        <w:spacing w:before="0" w:after="0"/>
        <w:ind w:end="0"/>
        <w:jc w:val="both"/>
        <w:rPr>
          <w:color w:val="auto"/>
        </w:rPr>
      </w:pPr>
      <w:r>
        <w:rPr>
          <w:color w:val="auto"/>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2: (If Step 1 fails)</w:t>
      </w:r>
    </w:p>
    <w:p>
      <w:pPr>
        <w:pStyle w:val="BodyText2"/>
        <w:bidi w:val="0"/>
        <w:spacing w:before="0" w:after="0"/>
        <w:ind w:end="0"/>
        <w:jc w:val="both"/>
        <w:rPr>
          <w:color w:val="auto"/>
        </w:rPr>
      </w:pPr>
      <w:r>
        <w:rPr>
          <w:color w:val="auto"/>
        </w:rPr>
      </w:r>
    </w:p>
    <w:p>
      <w:pPr>
        <w:pStyle w:val="BodyText2"/>
        <w:numPr>
          <w:ilvl w:val="0"/>
          <w:numId w:val="3"/>
        </w:numPr>
        <w:tabs>
          <w:tab w:val="clear" w:pos="720"/>
          <w:tab w:val="left" w:pos="360" w:leader="none"/>
        </w:tabs>
        <w:bidi w:val="0"/>
        <w:ind w:hanging="360" w:start="360" w:end="0"/>
        <w:jc w:val="start"/>
        <w:rPr/>
      </w:pPr>
      <w:r>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could not impair the obligations.    If Felsberg and other Lenders counsel can get comfortable that the courts would concur, then perhaps the seriousness of the concerns are greatly diminished. </w:t>
      </w:r>
    </w:p>
    <w:p>
      <w:pPr>
        <w:pStyle w:val="BodyText2"/>
        <w:bidi w:val="0"/>
        <w:ind w:end="0"/>
        <w:jc w:val="start"/>
        <w:rPr/>
      </w:pPr>
      <w:r>
        <w:rPr/>
      </w:r>
    </w:p>
    <w:p>
      <w:pPr>
        <w:pStyle w:val="BodyText2"/>
        <w:numPr>
          <w:ilvl w:val="0"/>
          <w:numId w:val="3"/>
        </w:numPr>
        <w:tabs>
          <w:tab w:val="clear" w:pos="720"/>
          <w:tab w:val="left" w:pos="360" w:leader="none"/>
        </w:tabs>
        <w:bidi w:val="0"/>
        <w:ind w:hanging="360" w:start="360" w:end="0"/>
        <w:jc w:val="start"/>
        <w:rPr/>
      </w:pPr>
      <w:r>
        <w:rPr/>
        <w:t>(review similarities of situation for EXIM &amp; IADB in Mexico in CFE transactions)</w:t>
      </w:r>
    </w:p>
    <w:p>
      <w:pPr>
        <w:pStyle w:val="BodyText2"/>
        <w:bidi w:val="0"/>
        <w:ind w:end="0"/>
        <w:jc w:val="start"/>
        <w:rPr>
          <w:b/>
        </w:rPr>
      </w:pPr>
      <w:r>
        <w:rPr>
          <w:b/>
        </w:rPr>
      </w:r>
    </w:p>
    <w:p>
      <w:pPr>
        <w:pStyle w:val="BodyText2"/>
        <w:numPr>
          <w:ilvl w:val="0"/>
          <w:numId w:val="3"/>
        </w:numPr>
        <w:tabs>
          <w:tab w:val="clear" w:pos="720"/>
          <w:tab w:val="left" w:pos="360" w:leader="none"/>
        </w:tabs>
        <w:bidi w:val="0"/>
        <w:spacing w:before="0" w:after="0"/>
        <w:ind w:hanging="360" w:start="360" w:end="0"/>
        <w:jc w:val="both"/>
        <w:rPr>
          <w:color w:val="auto"/>
        </w:rPr>
      </w:pPr>
      <w:r>
        <w:rPr/>
        <w:t>R</w:t>
      </w:r>
      <w:r>
        <w:rPr>
          <w:color w:val="auto"/>
        </w:rPr>
        <w:t>ely on the Assumption Agreement and Eletrobras’ performance guarantee under section Clause 41 of the PPA and Paragraphs 7 and 10 of the Deed of Assignment in lieu of the Furnas consent.</w:t>
      </w:r>
    </w:p>
    <w:p>
      <w:pPr>
        <w:pStyle w:val="BodyText2"/>
        <w:bidi w:val="0"/>
        <w:spacing w:before="0" w:after="0"/>
        <w:ind w:end="0"/>
        <w:jc w:val="both"/>
        <w:rPr/>
      </w:pPr>
      <w:r>
        <w:rPr/>
      </w:r>
    </w:p>
    <w:p>
      <w:pPr>
        <w:pStyle w:val="Normal"/>
        <w:numPr>
          <w:ilvl w:val="0"/>
          <w:numId w:val="3"/>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b/>
          <w:color w:val="auto"/>
        </w:rPr>
        <w:t>Reduced Ownership in EPE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Currently the yield on the debt will exceed the equity return.    In order to obtain more flexibility in improving the economic exposure the Sponsors would like to be able to divide the gas opportunity from the power opportunity.    As a result they request that the lenders consider allowing 100% sell down of EPE without lender consent, with a restriction on maintaining a net 25% ownership in GASBOL and GASMAT.        The Sponsors query whether this could be acceptable and whether the proposed restriction would meet OPIC’s US ownership criteria, given that their debt will be loaned predominantly to GASBOL and GASMAT.</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ind w:end="-450"/>
    </w:pPr>
    <w:rPr>
      <w:rFonts w:ascii="Arial" w:hAnsi="Arial"/>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2001-02-01T08:40:00Z</dcterms:modified>
  <cp:revision>27</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