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748" w:type="dxa"/>
        <w:jc w:val="start"/>
        <w:tblInd w:w="0" w:type="dxa"/>
        <w:tblLayout w:type="fixed"/>
        <w:tblCellMar>
          <w:top w:w="0" w:type="dxa"/>
          <w:start w:w="108" w:type="dxa"/>
          <w:bottom w:w="0" w:type="dxa"/>
          <w:end w:w="108" w:type="dxa"/>
        </w:tblCellMar>
      </w:tblPr>
      <w:tblGrid>
        <w:gridCol w:w="1187"/>
        <w:gridCol w:w="7560"/>
      </w:tblGrid>
      <w:tr>
        <w:trPr>
          <w:cantSplit w:val="true"/>
        </w:trPr>
        <w:tc>
          <w:tcPr>
            <w:tcW w:w="1187" w:type="dxa"/>
            <w:tcBorders/>
          </w:tcPr>
          <w:p>
            <w:pPr>
              <w:pStyle w:val="Normal"/>
              <w:pBdr/>
              <w:bidi w:val="0"/>
              <w:spacing w:before="60" w:after="60"/>
              <w:jc w:val="start"/>
              <w:rPr/>
              <w:framePr w:w="6016" w:h="5352" w:x="1665" w:hSpace="180" w:vSpace="0" w:wrap="notBeside" w:vAnchor="text" w:hAnchor="page" w:hRule="exact"/>
            </w:pPr>
            <w:r>
              <w:rPr/>
              <w:object>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31.75pt;height:230.25pt;mso-wrap-distance-right:0pt" filled="f" o:ole="">
                  <v:imagedata r:id="rId3" o:title=""/>
                </v:shape>
                <o:OLEObject Type="Embed" ProgID="" ShapeID="ole_rId2" DrawAspect="Content" ObjectID="_1285955671" r:id="rId2"/>
              </w:object>
            </w:r>
          </w:p>
          <w:p>
            <w:pPr>
              <w:pStyle w:val="Normal"/>
              <w:pBdr/>
              <w:bidi w:val="0"/>
              <w:jc w:val="start"/>
              <w:rPr/>
              <w:framePr w:w="6016" w:h="5352" w:x="1665" w:hSpace="180" w:vSpace="0" w:wrap="notBeside" w:vAnchor="text" w:hAnchor="page" w:hRule="exact"/>
            </w:pPr>
            <w:r>
              <w:rPr/>
            </w:r>
          </w:p>
          <w:p>
            <w:pPr>
              <w:pStyle w:val="Normal"/>
              <w:pBdr/>
              <w:bidi w:val="0"/>
              <w:spacing w:before="0" w:after="0"/>
              <w:jc w:val="start"/>
              <w:rPr>
                <w:rFonts w:ascii="Arial" w:hAnsi="Arial"/>
                <w:sz w:val="24"/>
              </w:rPr>
              <w:framePr w:w="6016" w:h="5352" w:x="1665" w:hSpace="180" w:vSpace="0" w:wrap="notBeside" w:vAnchor="text" w:hAnchor="page" w:hRule="exact"/>
            </w:pPr>
            <w:r>
              <w:rPr>
                <w:rFonts w:ascii="Arial" w:hAnsi="Arial"/>
                <w:b/>
                <w:sz w:val="24"/>
              </w:rPr>
              <w:t>Memo</w:t>
            </w:r>
          </w:p>
          <w:p>
            <w:pPr>
              <w:pStyle w:val="Normal"/>
              <w:tabs>
                <w:tab w:val="clear" w:pos="720"/>
              </w:tabs>
              <w:bidi w:val="0"/>
              <w:spacing w:before="60" w:after="60"/>
              <w:jc w:val="start"/>
              <w:rPr/>
            </w:pPr>
            <w:r>
              <w:rPr>
                <w:rFonts w:ascii="Arial" w:hAnsi="Arial"/>
                <w:b/>
                <w:sz w:val="24"/>
              </w:rPr>
              <w:t>To:</w:t>
            </w:r>
          </w:p>
        </w:tc>
        <w:tc>
          <w:tcPr>
            <w:tcW w:w="7560" w:type="dxa"/>
            <w:tcBorders/>
          </w:tcPr>
          <w:p>
            <w:pPr>
              <w:pStyle w:val="To"/>
              <w:tabs>
                <w:tab w:val="clear" w:pos="720"/>
              </w:tabs>
              <w:bidi w:val="0"/>
              <w:spacing w:before="60" w:after="60"/>
              <w:jc w:val="start"/>
              <w:rPr/>
            </w:pPr>
            <w:bookmarkStart w:id="0" w:name="To"/>
            <w:bookmarkEnd w:id="0"/>
            <w:r>
              <w:rPr>
                <w:rFonts w:ascii="Arial" w:hAnsi="Arial"/>
                <w:sz w:val="24"/>
              </w:rPr>
              <w:t>OPIC</w:t>
            </w:r>
          </w:p>
        </w:tc>
      </w:tr>
      <w:tr>
        <w:trPr>
          <w:cantSplit w:val="true"/>
        </w:trPr>
        <w:tc>
          <w:tcPr>
            <w:tcW w:w="1187" w:type="dxa"/>
            <w:tcBorders/>
          </w:tcPr>
          <w:p>
            <w:pPr>
              <w:pStyle w:val="Normal"/>
              <w:tabs>
                <w:tab w:val="clear" w:pos="720"/>
              </w:tabs>
              <w:bidi w:val="0"/>
              <w:spacing w:before="60" w:after="60"/>
              <w:jc w:val="start"/>
              <w:rPr/>
            </w:pPr>
            <w:r>
              <w:rPr>
                <w:rFonts w:ascii="Arial" w:hAnsi="Arial"/>
                <w:b/>
                <w:sz w:val="24"/>
              </w:rPr>
              <w:t>From:</w:t>
            </w:r>
          </w:p>
        </w:tc>
        <w:tc>
          <w:tcPr>
            <w:tcW w:w="7560" w:type="dxa"/>
            <w:tcBorders/>
          </w:tcPr>
          <w:p>
            <w:pPr>
              <w:pStyle w:val="From"/>
              <w:tabs>
                <w:tab w:val="clear" w:pos="720"/>
              </w:tabs>
              <w:bidi w:val="0"/>
              <w:spacing w:before="60" w:after="60"/>
              <w:jc w:val="start"/>
              <w:rPr/>
            </w:pPr>
            <w:bookmarkStart w:id="1" w:name="From"/>
            <w:bookmarkEnd w:id="1"/>
            <w:r>
              <w:rPr>
                <w:rFonts w:ascii="Arial" w:hAnsi="Arial"/>
                <w:sz w:val="24"/>
              </w:rPr>
              <w:t>Rob Gay</w:t>
            </w:r>
          </w:p>
        </w:tc>
      </w:tr>
      <w:tr>
        <w:trPr>
          <w:cantSplit w:val="true"/>
        </w:trPr>
        <w:tc>
          <w:tcPr>
            <w:tcW w:w="1187" w:type="dxa"/>
            <w:tcBorders/>
          </w:tcPr>
          <w:p>
            <w:pPr>
              <w:pStyle w:val="Normal"/>
              <w:widowControl/>
              <w:suppressAutoHyphens w:val="true"/>
              <w:bidi w:val="0"/>
              <w:spacing w:before="60" w:after="60"/>
              <w:jc w:val="start"/>
              <w:rPr/>
            </w:pPr>
            <w:r>
              <w:rPr>
                <w:rFonts w:ascii="Arial" w:hAnsi="Arial"/>
                <w:b/>
                <w:sz w:val="24"/>
              </w:rPr>
              <w:t>Date:</w:t>
            </w:r>
          </w:p>
        </w:tc>
        <w:tc>
          <w:tcPr>
            <w:tcW w:w="7560" w:type="dxa"/>
            <w:tcBorders/>
          </w:tcPr>
          <w:p>
            <w:pPr>
              <w:pStyle w:val="Date"/>
              <w:widowControl/>
              <w:bidi w:val="0"/>
              <w:spacing w:before="60" w:after="60"/>
              <w:jc w:val="start"/>
              <w:rPr/>
            </w:pPr>
            <w:r>
              <w:rPr>
                <w:rFonts w:ascii="Arial" w:hAnsi="Arial"/>
                <w:sz w:val="24"/>
              </w:rPr>
              <w:t>January 31, 2001</w:t>
            </w:r>
          </w:p>
        </w:tc>
      </w:tr>
      <w:tr>
        <w:trPr>
          <w:cantSplit w:val="true"/>
        </w:trPr>
        <w:tc>
          <w:tcPr>
            <w:tcW w:w="1187" w:type="dxa"/>
            <w:tcBorders>
              <w:bottom w:val="single" w:sz="18" w:space="0" w:color="000000"/>
            </w:tcBorders>
          </w:tcPr>
          <w:p>
            <w:pPr>
              <w:pStyle w:val="Normal"/>
              <w:tabs>
                <w:tab w:val="clear" w:pos="720"/>
              </w:tabs>
              <w:bidi w:val="0"/>
              <w:spacing w:before="60" w:after="60"/>
              <w:jc w:val="start"/>
              <w:rPr/>
            </w:pPr>
            <w:r>
              <w:rPr>
                <w:rFonts w:ascii="Arial" w:hAnsi="Arial"/>
                <w:b/>
                <w:sz w:val="24"/>
              </w:rPr>
              <w:t>Subject:</w:t>
            </w:r>
          </w:p>
        </w:tc>
        <w:tc>
          <w:tcPr>
            <w:tcW w:w="7560" w:type="dxa"/>
            <w:tcBorders>
              <w:bottom w:val="single" w:sz="18" w:space="0" w:color="000000"/>
            </w:tcBorders>
          </w:tcPr>
          <w:p>
            <w:pPr>
              <w:pStyle w:val="Subject"/>
              <w:tabs>
                <w:tab w:val="clear" w:pos="720"/>
              </w:tabs>
              <w:bidi w:val="0"/>
              <w:spacing w:before="60" w:after="60"/>
              <w:jc w:val="start"/>
              <w:rPr/>
            </w:pPr>
            <w:bookmarkStart w:id="2" w:name="Subject"/>
            <w:bookmarkStart w:id="3" w:name="tSubject"/>
            <w:bookmarkEnd w:id="2"/>
            <w:bookmarkEnd w:id="3"/>
            <w:r>
              <w:rPr>
                <w:rFonts w:ascii="Arial" w:hAnsi="Arial"/>
                <w:sz w:val="24"/>
              </w:rPr>
              <w:t>Issues requiring response</w:t>
            </w:r>
          </w:p>
        </w:tc>
      </w:tr>
    </w:tbl>
    <w:p>
      <w:pPr>
        <w:pStyle w:val="Normal"/>
        <w:bidi w:val="0"/>
        <w:spacing w:before="0" w:after="0"/>
        <w:jc w:val="start"/>
        <w:rPr>
          <w:rFonts w:ascii="Arial" w:hAnsi="Arial"/>
          <w:sz w:val="24"/>
        </w:rPr>
      </w:pPr>
      <w:r>
        <w:rPr>
          <w:rFonts w:ascii="Arial" w:hAnsi="Arial"/>
          <w:sz w:val="24"/>
        </w:rPr>
      </w:r>
      <w:bookmarkStart w:id="4" w:name="StartOfMemo"/>
      <w:bookmarkStart w:id="5" w:name="StartOfMemo"/>
      <w:bookmarkEnd w:id="5"/>
    </w:p>
    <w:p>
      <w:pPr>
        <w:pStyle w:val="Normal"/>
        <w:bidi w:val="0"/>
        <w:spacing w:before="0" w:after="0"/>
        <w:ind w:hanging="360" w:start="360"/>
        <w:jc w:val="both"/>
        <w:rPr>
          <w:rFonts w:ascii="Arial" w:hAnsi="Arial"/>
          <w:b/>
          <w:sz w:val="24"/>
        </w:rPr>
      </w:pPr>
      <w:r>
        <w:rPr>
          <w:rFonts w:ascii="Arial" w:hAnsi="Arial"/>
          <w:b/>
          <w:sz w:val="24"/>
        </w:rPr>
      </w:r>
    </w:p>
    <w:p>
      <w:pPr>
        <w:pStyle w:val="BodyText2"/>
        <w:bidi w:val="0"/>
        <w:spacing w:before="0" w:after="0"/>
        <w:ind w:end="0"/>
        <w:jc w:val="both"/>
        <w:rPr>
          <w:color w:val="auto"/>
        </w:rPr>
      </w:pPr>
      <w:r>
        <w:rPr>
          <w:color w:val="auto"/>
        </w:rPr>
        <w:t xml:space="preserve">Enron and Shell (collectively “Sponsors”) are requesting that OPIC and KFW consent    in advance (as required under the CTA) to a potential re-negotiation of the YPF Gas Supply Agreement (“GSA”) and/or termination of the GSA (but only in accordance with its terms) and establishment of a new supply with Bolivian producers.    The Sponsors also request for the Lenders to consider agreeing to fund the loans prior to any new arrangements being developed or finalized (either with YPF or other providers) by relying on the Back-up Fuel Supply arrangements provided by Enron which were previously negotiated. </w:t>
      </w:r>
    </w:p>
    <w:p>
      <w:pPr>
        <w:pStyle w:val="BodyText2"/>
        <w:bidi w:val="0"/>
        <w:spacing w:before="0" w:after="0"/>
        <w:ind w:end="0"/>
        <w:jc w:val="both"/>
        <w:rPr>
          <w:b/>
          <w:color w:val="auto"/>
        </w:rPr>
      </w:pPr>
      <w:r>
        <w:rPr>
          <w:b/>
          <w:color w:val="auto"/>
        </w:rPr>
      </w:r>
    </w:p>
    <w:p>
      <w:pPr>
        <w:pStyle w:val="BodyText2"/>
        <w:bidi w:val="0"/>
        <w:spacing w:before="0" w:after="0"/>
        <w:ind w:end="0"/>
        <w:jc w:val="both"/>
        <w:rPr>
          <w:b/>
          <w:color w:val="auto"/>
        </w:rPr>
      </w:pPr>
      <w:r>
        <w:rPr>
          <w:b/>
          <w:color w:val="auto"/>
        </w:rPr>
        <w:t>Timing and structure of Back-up Fuel Supply Agreement, put to Enron (Agreement and Guarantee), and Replacement Fuel Contract.</w:t>
      </w:r>
    </w:p>
    <w:p>
      <w:pPr>
        <w:pStyle w:val="BodyText2"/>
        <w:bidi w:val="0"/>
        <w:spacing w:before="0" w:after="0"/>
        <w:ind w:end="0"/>
        <w:jc w:val="both"/>
        <w:rPr>
          <w:b/>
          <w:color w:val="auto"/>
        </w:rPr>
      </w:pPr>
      <w:r>
        <w:rPr>
          <w:b/>
          <w:color w:val="auto"/>
        </w:rPr>
      </w:r>
    </w:p>
    <w:p>
      <w:pPr>
        <w:pStyle w:val="BodyText2"/>
        <w:numPr>
          <w:ilvl w:val="0"/>
          <w:numId w:val="1"/>
        </w:numPr>
        <w:tabs>
          <w:tab w:val="clear" w:pos="720"/>
          <w:tab w:val="left" w:pos="1080" w:leader="none"/>
        </w:tabs>
        <w:bidi w:val="0"/>
        <w:spacing w:before="0" w:after="0"/>
        <w:ind w:hanging="360" w:start="1080" w:end="0"/>
        <w:jc w:val="both"/>
        <w:rPr>
          <w:color w:val="auto"/>
        </w:rPr>
      </w:pPr>
      <w:r>
        <w:rPr>
          <w:color w:val="auto"/>
        </w:rPr>
        <w:t>If the YPF contract is terminated Enron will be the interim fuel supplier under the “Back-up Agreement” from the Funding Date until March 31, 2002. This is a financial obligation and no demonstration of physical reserves or delivery capability is required. However, Enron pays LD’s for failure to provide gas with virtually identical performance terms to the YPF contract except Non-cover LD’s increased to US$12MM max (vs only $4MM under the YPF contract).</w:t>
      </w:r>
    </w:p>
    <w:p>
      <w:pPr>
        <w:pStyle w:val="BodyText2"/>
        <w:bidi w:val="0"/>
        <w:spacing w:before="0" w:after="0"/>
        <w:ind w:hanging="360" w:start="360" w:end="0"/>
        <w:jc w:val="both"/>
        <w:rPr>
          <w:color w:val="auto"/>
        </w:rPr>
      </w:pPr>
      <w:r>
        <w:rPr>
          <w:color w:val="auto"/>
        </w:rPr>
      </w:r>
    </w:p>
    <w:p>
      <w:pPr>
        <w:pStyle w:val="BodyText2"/>
        <w:bidi w:val="0"/>
        <w:spacing w:before="0" w:after="0"/>
        <w:ind w:hanging="360" w:start="360" w:end="0"/>
        <w:jc w:val="both"/>
        <w:rPr>
          <w:color w:val="auto"/>
        </w:rPr>
      </w:pPr>
      <w:r>
        <w:rPr>
          <w:color w:val="auto"/>
        </w:rPr>
      </w:r>
    </w:p>
    <w:p>
      <w:pPr>
        <w:pStyle w:val="BodyText2"/>
        <w:numPr>
          <w:ilvl w:val="0"/>
          <w:numId w:val="1"/>
        </w:numPr>
        <w:tabs>
          <w:tab w:val="clear" w:pos="720"/>
          <w:tab w:val="left" w:pos="1080" w:leader="none"/>
        </w:tabs>
        <w:bidi w:val="0"/>
        <w:spacing w:before="0" w:after="0"/>
        <w:ind w:hanging="360" w:start="1080" w:end="0"/>
        <w:jc w:val="both"/>
        <w:rPr>
          <w:color w:val="auto"/>
        </w:rPr>
      </w:pPr>
      <w:r>
        <w:rPr>
          <w:color w:val="auto"/>
        </w:rPr>
        <w:t>Jan 1, 2002 – Enron required to submit documentation evidencing satisfactory arrangement for physical delivery under a “Replacement Fuel Agreement” including details of reserves, transportation, and supplier creditworthiness.      This is essentially an obligation to establish a new long-term gas supply arrangement similar to the YPF arrangement.</w:t>
      </w:r>
    </w:p>
    <w:p>
      <w:pPr>
        <w:pStyle w:val="BodyText2"/>
        <w:bidi w:val="0"/>
        <w:spacing w:before="0" w:after="0"/>
        <w:ind w:hanging="360" w:start="360" w:end="0"/>
        <w:jc w:val="both"/>
        <w:rPr>
          <w:color w:val="auto"/>
        </w:rPr>
      </w:pPr>
      <w:r>
        <w:rPr>
          <w:color w:val="auto"/>
        </w:rPr>
      </w:r>
    </w:p>
    <w:p>
      <w:pPr>
        <w:pStyle w:val="BodyText2"/>
        <w:bidi w:val="0"/>
        <w:spacing w:before="0" w:after="0"/>
        <w:ind w:hanging="360" w:start="360" w:end="0"/>
        <w:jc w:val="both"/>
        <w:rPr>
          <w:color w:val="auto"/>
        </w:rPr>
      </w:pPr>
      <w:r>
        <w:rPr>
          <w:color w:val="auto"/>
        </w:rPr>
      </w:r>
    </w:p>
    <w:p>
      <w:pPr>
        <w:pStyle w:val="BodyText2"/>
        <w:numPr>
          <w:ilvl w:val="0"/>
          <w:numId w:val="1"/>
        </w:numPr>
        <w:tabs>
          <w:tab w:val="clear" w:pos="720"/>
          <w:tab w:val="left" w:pos="1080" w:leader="none"/>
        </w:tabs>
        <w:bidi w:val="0"/>
        <w:spacing w:before="0" w:after="0"/>
        <w:ind w:hanging="360" w:start="1080" w:end="0"/>
        <w:jc w:val="both"/>
        <w:rPr>
          <w:color w:val="auto"/>
        </w:rPr>
      </w:pPr>
      <w:r>
        <w:rPr>
          <w:color w:val="auto"/>
        </w:rPr>
        <w:t>By March 31, 2002 Lenders to complete evaluation of Replacement arrangements and indicate acceptance or rejection.</w:t>
      </w:r>
    </w:p>
    <w:p>
      <w:pPr>
        <w:pStyle w:val="BodyText2"/>
        <w:bidi w:val="0"/>
        <w:spacing w:before="0" w:after="0"/>
        <w:ind w:hanging="360" w:start="360" w:end="0"/>
        <w:jc w:val="both"/>
        <w:rPr>
          <w:color w:val="auto"/>
        </w:rPr>
      </w:pPr>
      <w:r>
        <w:rPr>
          <w:color w:val="auto"/>
        </w:rPr>
      </w:r>
    </w:p>
    <w:p>
      <w:pPr>
        <w:pStyle w:val="BodyText2"/>
        <w:bidi w:val="0"/>
        <w:spacing w:before="0" w:after="0"/>
        <w:ind w:hanging="360" w:start="360" w:end="0"/>
        <w:jc w:val="both"/>
        <w:rPr>
          <w:color w:val="auto"/>
        </w:rPr>
      </w:pPr>
      <w:r>
        <w:rPr>
          <w:color w:val="auto"/>
        </w:rPr>
      </w:r>
    </w:p>
    <w:p>
      <w:pPr>
        <w:pStyle w:val="BodyText2"/>
        <w:numPr>
          <w:ilvl w:val="0"/>
          <w:numId w:val="1"/>
        </w:numPr>
        <w:tabs>
          <w:tab w:val="clear" w:pos="720"/>
          <w:tab w:val="left" w:pos="1080" w:leader="none"/>
        </w:tabs>
        <w:bidi w:val="0"/>
        <w:spacing w:before="0" w:after="0"/>
        <w:ind w:hanging="360" w:start="1080" w:end="0"/>
        <w:jc w:val="both"/>
        <w:rPr>
          <w:color w:val="auto"/>
        </w:rPr>
      </w:pPr>
      <w:r>
        <w:rPr>
          <w:color w:val="auto"/>
        </w:rPr>
        <w:t>If Replacement arrangements rejected, Enron debt guarantee is triggered and if acceptable Replacement arrangements not developed and submitted by Jan 1, 2003, then the Lenders may put the debt to Enron on March 31, 2003.</w:t>
      </w:r>
    </w:p>
    <w:p>
      <w:pPr>
        <w:pStyle w:val="BodyText2"/>
        <w:bidi w:val="0"/>
        <w:spacing w:before="0" w:after="0"/>
        <w:ind w:end="0"/>
        <w:jc w:val="both"/>
        <w:rPr>
          <w:b/>
          <w:color w:val="auto"/>
        </w:rPr>
      </w:pPr>
      <w:r>
        <w:rPr>
          <w:b/>
          <w:color w:val="auto"/>
        </w:rPr>
      </w:r>
    </w:p>
    <w:p>
      <w:pPr>
        <w:pStyle w:val="BodyText2"/>
        <w:bidi w:val="0"/>
        <w:spacing w:before="0" w:after="0"/>
        <w:ind w:hanging="360" w:start="360" w:end="0"/>
        <w:jc w:val="both"/>
        <w:rPr>
          <w:b/>
          <w:color w:val="auto"/>
        </w:rPr>
      </w:pPr>
      <w:r>
        <w:rPr>
          <w:b/>
          <w:color w:val="auto"/>
        </w:rPr>
        <w:t>Current status of YPF CP’s</w:t>
      </w:r>
    </w:p>
    <w:p>
      <w:pPr>
        <w:pStyle w:val="BodyText2"/>
        <w:bidi w:val="0"/>
        <w:spacing w:before="0" w:after="0"/>
        <w:ind w:hanging="360" w:start="360" w:end="0"/>
        <w:jc w:val="both"/>
        <w:rPr>
          <w:color w:val="auto"/>
        </w:rPr>
      </w:pPr>
      <w:r>
        <w:rPr>
          <w:color w:val="auto"/>
        </w:rPr>
      </w:r>
    </w:p>
    <w:p>
      <w:pPr>
        <w:pStyle w:val="Normal"/>
        <w:bidi w:val="0"/>
        <w:spacing w:lineRule="atLeast" w:line="240"/>
        <w:jc w:val="start"/>
        <w:rPr>
          <w:rFonts w:ascii="Arial" w:hAnsi="Arial"/>
          <w:i/>
          <w:i/>
          <w:color w:val="000000"/>
          <w:sz w:val="24"/>
        </w:rPr>
      </w:pPr>
      <w:r>
        <w:rPr>
          <w:rFonts w:ascii="Arial" w:hAnsi="Arial"/>
          <w:color w:val="000000"/>
          <w:sz w:val="24"/>
        </w:rPr>
        <w:t>Under the GSA the project has a unilateral right to terminate if any of the following conditions precedent are not met by May 4, 2001</w:t>
      </w:r>
      <w:r>
        <w:rPr>
          <w:rFonts w:ascii="Arial" w:hAnsi="Arial"/>
          <w:i/>
          <w:color w:val="000000"/>
          <w:sz w:val="24"/>
        </w:rPr>
        <w:t>:</w:t>
      </w:r>
    </w:p>
    <w:p>
      <w:pPr>
        <w:pStyle w:val="Normal"/>
        <w:bidi w:val="0"/>
        <w:spacing w:lineRule="atLeast" w:line="240"/>
        <w:jc w:val="start"/>
        <w:rPr>
          <w:rFonts w:ascii="Arial" w:hAnsi="Arial"/>
          <w:color w:val="000000"/>
          <w:sz w:val="24"/>
        </w:rPr>
      </w:pPr>
      <w:r>
        <w:rPr>
          <w:rFonts w:ascii="Arial" w:hAnsi="Arial"/>
          <w:color w:val="000000"/>
          <w:sz w:val="24"/>
        </w:rPr>
        <w:t>1.</w:t>
        <w:tab/>
        <w:t>Failure of project to close non-recourse project financing;</w:t>
      </w:r>
    </w:p>
    <w:p>
      <w:pPr>
        <w:pStyle w:val="Normal"/>
        <w:bidi w:val="0"/>
        <w:spacing w:lineRule="atLeast" w:line="240"/>
        <w:jc w:val="start"/>
        <w:rPr>
          <w:rFonts w:ascii="Arial" w:hAnsi="Arial"/>
          <w:color w:val="000000"/>
          <w:sz w:val="24"/>
        </w:rPr>
      </w:pPr>
      <w:r>
        <w:rPr>
          <w:rFonts w:ascii="Arial" w:hAnsi="Arial"/>
          <w:color w:val="000000"/>
          <w:sz w:val="24"/>
        </w:rPr>
        <w:t>2.</w:t>
        <w:tab/>
        <w:t>All required government approvals have been obtained;</w:t>
      </w:r>
    </w:p>
    <w:p>
      <w:pPr>
        <w:pStyle w:val="Normal"/>
        <w:bidi w:val="0"/>
        <w:spacing w:lineRule="atLeast" w:line="240"/>
        <w:jc w:val="start"/>
        <w:rPr>
          <w:rFonts w:ascii="Arial" w:hAnsi="Arial"/>
          <w:color w:val="000000"/>
          <w:sz w:val="24"/>
        </w:rPr>
      </w:pPr>
      <w:r>
        <w:rPr>
          <w:rFonts w:ascii="Arial" w:hAnsi="Arial"/>
          <w:color w:val="000000"/>
          <w:sz w:val="24"/>
        </w:rPr>
        <w:t>3.</w:t>
        <w:tab/>
        <w:t>Plant has achieved Substantial Completion (480 MW on gas);</w:t>
      </w:r>
    </w:p>
    <w:p>
      <w:pPr>
        <w:pStyle w:val="Normal"/>
        <w:bidi w:val="0"/>
        <w:ind w:hanging="640" w:start="640"/>
        <w:jc w:val="start"/>
        <w:rPr>
          <w:rFonts w:ascii="Arial" w:hAnsi="Arial"/>
          <w:i/>
          <w:i/>
          <w:color w:val="000000"/>
          <w:sz w:val="24"/>
        </w:rPr>
      </w:pPr>
      <w:r>
        <w:rPr>
          <w:rFonts w:ascii="Arial" w:hAnsi="Arial"/>
          <w:color w:val="000000"/>
          <w:sz w:val="24"/>
        </w:rPr>
        <w:t>4.</w:t>
        <w:tab/>
        <w:t>The Start Date has occurred.</w:t>
      </w:r>
    </w:p>
    <w:p>
      <w:pPr>
        <w:pStyle w:val="BodyText2"/>
        <w:bidi w:val="0"/>
        <w:spacing w:before="0" w:after="0"/>
        <w:ind w:hanging="360" w:start="360" w:end="0"/>
        <w:jc w:val="both"/>
        <w:rPr>
          <w:b/>
          <w:color w:val="auto"/>
        </w:rPr>
      </w:pPr>
      <w:r>
        <w:rPr>
          <w:b/>
          <w:color w:val="auto"/>
        </w:rPr>
      </w:r>
    </w:p>
    <w:p>
      <w:pPr>
        <w:pStyle w:val="BodyText2"/>
        <w:bidi w:val="0"/>
        <w:spacing w:before="0" w:after="0"/>
        <w:ind w:hanging="360" w:start="360" w:end="0"/>
        <w:jc w:val="both"/>
        <w:rPr>
          <w:b/>
          <w:color w:val="auto"/>
        </w:rPr>
      </w:pPr>
      <w:r>
        <w:rPr>
          <w:b/>
          <w:color w:val="auto"/>
        </w:rPr>
        <w:t>Proposed Modifications to GSA</w:t>
      </w:r>
    </w:p>
    <w:p>
      <w:pPr>
        <w:pStyle w:val="BodyText2"/>
        <w:bidi w:val="0"/>
        <w:spacing w:before="0" w:after="0"/>
        <w:ind w:hanging="360" w:start="360" w:end="0"/>
        <w:jc w:val="both"/>
        <w:rPr>
          <w:b/>
          <w:color w:val="auto"/>
        </w:rPr>
      </w:pPr>
      <w:r>
        <w:rPr>
          <w:b/>
          <w:color w:val="auto"/>
        </w:rPr>
      </w:r>
    </w:p>
    <w:p>
      <w:pPr>
        <w:pStyle w:val="BodyText2"/>
        <w:bidi w:val="0"/>
        <w:spacing w:before="0" w:after="0"/>
        <w:ind w:hanging="360" w:start="360" w:end="0"/>
        <w:jc w:val="both"/>
        <w:rPr>
          <w:color w:val="auto"/>
        </w:rPr>
      </w:pPr>
      <w:r>
        <w:rPr>
          <w:color w:val="auto"/>
        </w:rPr>
        <w:t>The Sponsors would like to address the following in the re-negotiation or new arrangements:</w:t>
      </w:r>
    </w:p>
    <w:p>
      <w:pPr>
        <w:pStyle w:val="Normal"/>
        <w:bidi w:val="0"/>
        <w:jc w:val="start"/>
        <w:rPr>
          <w:rFonts w:ascii="Arial" w:hAnsi="Arial"/>
          <w:color w:val="000000"/>
          <w:sz w:val="24"/>
        </w:rPr>
      </w:pPr>
      <w:r>
        <w:rPr>
          <w:rFonts w:ascii="Arial" w:hAnsi="Arial"/>
          <w:color w:val="000000"/>
          <w:sz w:val="24"/>
        </w:rPr>
      </w:r>
    </w:p>
    <w:p>
      <w:pPr>
        <w:pStyle w:val="Normal"/>
        <w:numPr>
          <w:ilvl w:val="0"/>
          <w:numId w:val="2"/>
        </w:numPr>
        <w:bidi w:val="0"/>
        <w:jc w:val="start"/>
        <w:rPr>
          <w:rFonts w:ascii="Arial" w:hAnsi="Arial"/>
          <w:color w:val="000000"/>
          <w:sz w:val="24"/>
        </w:rPr>
      </w:pPr>
      <w:r>
        <w:rPr>
          <w:rFonts w:ascii="Arial" w:hAnsi="Arial"/>
          <w:color w:val="000000"/>
          <w:sz w:val="24"/>
        </w:rPr>
        <w:t>lower price    (current market is approximately US$1.00 per mmbtu vs contract price of US$1.30)</w:t>
      </w:r>
    </w:p>
    <w:p>
      <w:pPr>
        <w:pStyle w:val="Normal"/>
        <w:numPr>
          <w:ilvl w:val="0"/>
          <w:numId w:val="2"/>
        </w:numPr>
        <w:bidi w:val="0"/>
        <w:jc w:val="start"/>
        <w:rPr>
          <w:rFonts w:ascii="Arial" w:hAnsi="Arial"/>
          <w:color w:val="000000"/>
          <w:sz w:val="24"/>
        </w:rPr>
      </w:pPr>
      <w:r>
        <w:rPr>
          <w:rFonts w:ascii="Arial" w:hAnsi="Arial"/>
          <w:color w:val="000000"/>
          <w:sz w:val="24"/>
        </w:rPr>
        <w:t>eliminate WTI/CPI basis risk (&amp; GPDA) ; the GSA adjusts based on shifts in WTI whereas the PPA adjusts based on shifts in the US CPI. Enron &amp; Shell have shouldered this risk through a swap entitled the Gas Price Differential Agreement which cause the Sponsors to contribute funds if TBS is unable to pay its obligations under the gas supply and transportation agreements as a result of the fuel price mismatch.</w:t>
      </w:r>
    </w:p>
    <w:p>
      <w:pPr>
        <w:pStyle w:val="Normal"/>
        <w:numPr>
          <w:ilvl w:val="0"/>
          <w:numId w:val="2"/>
        </w:numPr>
        <w:bidi w:val="0"/>
        <w:jc w:val="start"/>
        <w:rPr>
          <w:rFonts w:ascii="Arial" w:hAnsi="Arial"/>
          <w:color w:val="000000"/>
          <w:sz w:val="24"/>
        </w:rPr>
      </w:pPr>
      <w:r>
        <w:rPr>
          <w:rFonts w:ascii="Arial" w:hAnsi="Arial"/>
          <w:color w:val="000000"/>
          <w:sz w:val="24"/>
        </w:rPr>
        <w:t>5 year make-up period; The YPF contract obligates the supplier to deliver gas for up to one year if a TOP payment is made but gas not taken.    The obligation to Furnas is a 5 year make-up period which was required by the Central Bank</w:t>
      </w:r>
    </w:p>
    <w:p>
      <w:pPr>
        <w:pStyle w:val="BodyText2"/>
        <w:bidi w:val="0"/>
        <w:spacing w:before="0" w:after="0"/>
        <w:ind w:hanging="360" w:start="360" w:end="0"/>
        <w:jc w:val="both"/>
        <w:rPr>
          <w:b/>
          <w:color w:val="auto"/>
        </w:rPr>
      </w:pPr>
      <w:r>
        <w:rPr>
          <w:b/>
          <w:color w:val="auto"/>
        </w:rPr>
      </w:r>
    </w:p>
    <w:p>
      <w:pPr>
        <w:pStyle w:val="BodyText2"/>
        <w:bidi w:val="0"/>
        <w:spacing w:before="0" w:after="0"/>
        <w:ind w:hanging="360" w:start="360" w:end="0"/>
        <w:jc w:val="both"/>
        <w:rPr>
          <w:b/>
          <w:color w:val="auto"/>
        </w:rPr>
      </w:pPr>
      <w:r>
        <w:rPr>
          <w:b/>
          <w:color w:val="auto"/>
        </w:rPr>
        <w:t xml:space="preserve">Potential Bolivian Supplies </w:t>
      </w:r>
    </w:p>
    <w:p>
      <w:pPr>
        <w:pStyle w:val="BodyText2"/>
        <w:bidi w:val="0"/>
        <w:spacing w:before="0" w:after="0"/>
        <w:ind w:hanging="360" w:start="360" w:end="0"/>
        <w:jc w:val="both"/>
        <w:rPr>
          <w:b/>
          <w:color w:val="auto"/>
        </w:rPr>
      </w:pPr>
      <w:r>
        <w:rPr>
          <w:b/>
          <w:color w:val="auto"/>
        </w:rPr>
      </w:r>
    </w:p>
    <w:p>
      <w:pPr>
        <w:pStyle w:val="BodyText2"/>
        <w:bidi w:val="0"/>
        <w:spacing w:before="0" w:after="0"/>
        <w:ind w:hanging="360" w:start="360" w:end="0"/>
        <w:jc w:val="both"/>
        <w:rPr>
          <w:i/>
          <w:i/>
          <w:color w:val="auto"/>
        </w:rPr>
      </w:pPr>
      <w:r>
        <w:rPr>
          <w:i/>
          <w:color w:val="auto"/>
        </w:rPr>
        <w:t>[Enron to provide info on availble suppliers]</w:t>
      </w:r>
    </w:p>
    <w:p>
      <w:pPr>
        <w:pStyle w:val="BodyText2"/>
        <w:bidi w:val="0"/>
        <w:spacing w:before="0" w:after="0"/>
        <w:ind w:hanging="360" w:start="360" w:end="0"/>
        <w:jc w:val="both"/>
        <w:rPr>
          <w:b/>
          <w:color w:val="auto"/>
        </w:rPr>
      </w:pPr>
      <w:r>
        <w:rPr>
          <w:b/>
          <w:color w:val="auto"/>
        </w:rPr>
      </w:r>
    </w:p>
    <w:p>
      <w:pPr>
        <w:pStyle w:val="BodyText2"/>
        <w:bidi w:val="0"/>
        <w:spacing w:before="0" w:after="0"/>
        <w:ind w:end="0"/>
        <w:jc w:val="both"/>
        <w:rPr>
          <w:b/>
          <w:color w:val="auto"/>
        </w:rPr>
      </w:pPr>
      <w:r>
        <w:rPr>
          <w:b/>
          <w:color w:val="auto"/>
        </w:rPr>
        <w:t>Vintage Cuiaba II transaction with Vintage</w:t>
      </w:r>
    </w:p>
    <w:p>
      <w:pPr>
        <w:pStyle w:val="BodyText2"/>
        <w:bidi w:val="0"/>
        <w:spacing w:before="0" w:after="0"/>
        <w:ind w:end="0"/>
        <w:jc w:val="both"/>
        <w:rPr>
          <w:color w:val="auto"/>
        </w:rPr>
      </w:pPr>
      <w:r>
        <w:rPr>
          <w:color w:val="auto"/>
        </w:rPr>
      </w:r>
    </w:p>
    <w:p>
      <w:pPr>
        <w:pStyle w:val="BodyText2"/>
        <w:bidi w:val="0"/>
        <w:spacing w:before="0" w:after="0"/>
        <w:ind w:end="0"/>
        <w:jc w:val="both"/>
        <w:rPr>
          <w:color w:val="auto"/>
        </w:rPr>
      </w:pPr>
      <w:r>
        <w:rPr>
          <w:color w:val="auto"/>
        </w:rPr>
        <w:t>As an example of what can be accomplished in the market place, Enron successfully negotiated a contract last year with Vintage with the following terms:</w:t>
      </w:r>
    </w:p>
    <w:p>
      <w:pPr>
        <w:pStyle w:val="BodyText2"/>
        <w:bidi w:val="0"/>
        <w:spacing w:before="0" w:after="0"/>
        <w:ind w:end="0"/>
        <w:jc w:val="both"/>
        <w:rPr>
          <w:color w:val="auto"/>
        </w:rPr>
      </w:pPr>
      <w:r>
        <w:rPr>
          <w:color w:val="auto"/>
        </w:rPr>
      </w:r>
    </w:p>
    <w:p>
      <w:pPr>
        <w:pStyle w:val="Normal"/>
        <w:bidi w:val="0"/>
        <w:spacing w:lineRule="atLeast" w:line="240"/>
        <w:jc w:val="start"/>
        <w:rPr>
          <w:rFonts w:ascii="Arial" w:hAnsi="Arial"/>
          <w:color w:val="000000"/>
          <w:sz w:val="24"/>
        </w:rPr>
      </w:pPr>
      <w:r>
        <w:rPr>
          <w:rFonts w:ascii="Arial" w:hAnsi="Arial"/>
          <w:color w:val="000000"/>
          <w:sz w:val="24"/>
        </w:rPr>
        <w:t>Executed June 2000</w:t>
      </w:r>
    </w:p>
    <w:p>
      <w:pPr>
        <w:pStyle w:val="Normal"/>
        <w:bidi w:val="0"/>
        <w:spacing w:lineRule="atLeast" w:line="240"/>
        <w:ind w:hanging="0" w:start="360"/>
        <w:jc w:val="start"/>
        <w:rPr>
          <w:rFonts w:ascii="Arial" w:hAnsi="Arial"/>
          <w:color w:val="000000"/>
          <w:sz w:val="24"/>
        </w:rPr>
      </w:pPr>
      <w:r>
        <w:rPr>
          <w:rFonts w:ascii="Arial" w:hAnsi="Arial"/>
          <w:color w:val="000000"/>
          <w:sz w:val="24"/>
        </w:rPr>
        <w:t>12-Year GSA, to commence at our option between July 1, 2001-2003</w:t>
      </w:r>
    </w:p>
    <w:p>
      <w:pPr>
        <w:pStyle w:val="Normal"/>
        <w:bidi w:val="0"/>
        <w:spacing w:lineRule="atLeast" w:line="240"/>
        <w:ind w:hanging="0" w:start="360"/>
        <w:jc w:val="start"/>
        <w:rPr>
          <w:rFonts w:ascii="Arial" w:hAnsi="Arial"/>
          <w:color w:val="000000"/>
          <w:sz w:val="24"/>
        </w:rPr>
      </w:pPr>
      <w:r>
        <w:rPr>
          <w:rFonts w:ascii="Arial" w:hAnsi="Arial"/>
          <w:color w:val="000000"/>
          <w:sz w:val="24"/>
        </w:rPr>
        <w:t xml:space="preserve">Fixed price of $1.00/MMBtu.    </w:t>
      </w:r>
    </w:p>
    <w:p>
      <w:pPr>
        <w:pStyle w:val="Normal"/>
        <w:bidi w:val="0"/>
        <w:spacing w:lineRule="atLeast" w:line="240"/>
        <w:ind w:hanging="0" w:start="360"/>
        <w:jc w:val="start"/>
        <w:rPr>
          <w:rFonts w:ascii="Arial" w:hAnsi="Arial"/>
          <w:color w:val="000000"/>
          <w:sz w:val="24"/>
        </w:rPr>
      </w:pPr>
      <w:r>
        <w:rPr>
          <w:rFonts w:ascii="Arial" w:hAnsi="Arial"/>
          <w:color w:val="000000"/>
          <w:sz w:val="24"/>
        </w:rPr>
        <w:t>Volumes of 20,300MMBtu/day (25% of daily requirement for 480 MW Power Plant)</w:t>
      </w:r>
    </w:p>
    <w:p>
      <w:pPr>
        <w:pStyle w:val="BodyText2"/>
        <w:bidi w:val="0"/>
        <w:spacing w:before="0" w:after="0"/>
        <w:ind w:end="0"/>
        <w:jc w:val="both"/>
        <w:rPr>
          <w:color w:val="auto"/>
        </w:rPr>
      </w:pPr>
      <w:r>
        <w:rPr>
          <w:color w:val="auto"/>
        </w:rPr>
      </w:r>
    </w:p>
    <w:p>
      <w:pPr>
        <w:pStyle w:val="BodyText2"/>
        <w:bidi w:val="0"/>
        <w:spacing w:before="0" w:after="0"/>
        <w:ind w:end="0"/>
        <w:jc w:val="both"/>
        <w:rPr>
          <w:b/>
          <w:color w:val="auto"/>
        </w:rPr>
      </w:pPr>
      <w:r>
        <w:rPr>
          <w:b/>
          <w:color w:val="auto"/>
        </w:rPr>
        <w:t xml:space="preserve">In addition, the Sponsors request that the Lenders consider an alternate approach to the Furnas Consent to assignment and the Eletrobras Guarantee confirmation.    </w:t>
      </w:r>
    </w:p>
    <w:p>
      <w:pPr>
        <w:pStyle w:val="BodyText2"/>
        <w:bidi w:val="0"/>
        <w:spacing w:before="0" w:after="0"/>
        <w:ind w:end="0"/>
        <w:jc w:val="both"/>
        <w:rPr>
          <w:b/>
          <w:color w:val="auto"/>
        </w:rPr>
      </w:pPr>
      <w:r>
        <w:rPr>
          <w:b/>
          <w:color w:val="auto"/>
        </w:rPr>
      </w:r>
    </w:p>
    <w:p>
      <w:pPr>
        <w:pStyle w:val="BodyText2"/>
        <w:bidi w:val="0"/>
        <w:spacing w:before="0" w:after="0"/>
        <w:ind w:end="0"/>
        <w:jc w:val="both"/>
        <w:rPr>
          <w:color w:val="auto"/>
        </w:rPr>
      </w:pPr>
      <w:r>
        <w:rPr>
          <w:color w:val="auto"/>
        </w:rPr>
        <w:t>Currently, the lenders are awaiting Furnas’ execution of a heavily negotiated Consent and a confirmation from Eletrobras that their guarantee would remain effective in the event of the privatization of Furnas.</w:t>
      </w:r>
    </w:p>
    <w:p>
      <w:pPr>
        <w:pStyle w:val="BodyText2"/>
        <w:bidi w:val="0"/>
        <w:spacing w:before="0" w:after="0"/>
        <w:ind w:end="0"/>
        <w:jc w:val="both"/>
        <w:rPr>
          <w:b/>
          <w:color w:val="auto"/>
        </w:rPr>
      </w:pPr>
      <w:r>
        <w:rPr>
          <w:b/>
          <w:color w:val="auto"/>
        </w:rPr>
      </w:r>
    </w:p>
    <w:p>
      <w:pPr>
        <w:pStyle w:val="BodyText2"/>
        <w:bidi w:val="0"/>
        <w:spacing w:before="0" w:after="0"/>
        <w:ind w:end="0"/>
        <w:jc w:val="both"/>
        <w:rPr>
          <w:b/>
          <w:color w:val="auto"/>
        </w:rPr>
      </w:pPr>
      <w:r>
        <w:rPr>
          <w:b/>
          <w:color w:val="auto"/>
        </w:rPr>
      </w:r>
    </w:p>
    <w:p>
      <w:pPr>
        <w:pStyle w:val="BodyText2"/>
        <w:bidi w:val="0"/>
        <w:spacing w:before="0" w:after="0"/>
        <w:ind w:end="0"/>
        <w:jc w:val="both"/>
        <w:rPr>
          <w:b/>
          <w:color w:val="auto"/>
        </w:rPr>
      </w:pPr>
      <w:r>
        <w:rPr>
          <w:b/>
          <w:color w:val="auto"/>
        </w:rPr>
        <w:t>The alternate approach to getting comfortable would consist of the following:</w:t>
      </w:r>
    </w:p>
    <w:p>
      <w:pPr>
        <w:pStyle w:val="BodyText2"/>
        <w:bidi w:val="0"/>
        <w:spacing w:before="0" w:after="0"/>
        <w:ind w:end="0"/>
        <w:jc w:val="both"/>
        <w:rPr>
          <w:color w:val="auto"/>
        </w:rPr>
      </w:pPr>
      <w:r>
        <w:rPr>
          <w:color w:val="auto"/>
        </w:rPr>
      </w:r>
    </w:p>
    <w:p>
      <w:pPr>
        <w:pStyle w:val="BodyText2"/>
        <w:bidi w:val="0"/>
        <w:spacing w:before="0" w:after="0"/>
        <w:ind w:end="0"/>
        <w:jc w:val="both"/>
        <w:rPr>
          <w:color w:val="auto"/>
        </w:rPr>
      </w:pPr>
      <w:r>
        <w:rPr>
          <w:color w:val="auto"/>
        </w:rPr>
        <w:t>Step 1:</w:t>
      </w:r>
    </w:p>
    <w:p>
      <w:pPr>
        <w:pStyle w:val="BodyText2"/>
        <w:bidi w:val="0"/>
        <w:spacing w:before="0" w:after="0"/>
        <w:ind w:end="0"/>
        <w:jc w:val="both"/>
        <w:rPr>
          <w:color w:val="auto"/>
        </w:rPr>
      </w:pPr>
      <w:r>
        <w:rPr>
          <w:color w:val="auto"/>
        </w:rPr>
      </w:r>
    </w:p>
    <w:p>
      <w:pPr>
        <w:pStyle w:val="BodyText2"/>
        <w:numPr>
          <w:ilvl w:val="0"/>
          <w:numId w:val="4"/>
        </w:numPr>
        <w:tabs>
          <w:tab w:val="clear" w:pos="720"/>
          <w:tab w:val="left" w:pos="360" w:leader="none"/>
        </w:tabs>
        <w:bidi w:val="0"/>
        <w:spacing w:before="0" w:after="0"/>
        <w:ind w:hanging="360" w:start="360" w:end="0"/>
        <w:jc w:val="both"/>
        <w:rPr>
          <w:color w:val="auto"/>
        </w:rPr>
      </w:pPr>
      <w:r>
        <w:rPr>
          <w:color w:val="auto"/>
        </w:rPr>
        <w:t xml:space="preserve">Attempt to get Eletrobras to confirm their guarantee without involving Furnas.    </w:t>
      </w:r>
    </w:p>
    <w:p>
      <w:pPr>
        <w:pStyle w:val="BodyText2"/>
        <w:bidi w:val="0"/>
        <w:spacing w:before="0" w:after="0"/>
        <w:ind w:end="0"/>
        <w:jc w:val="both"/>
        <w:rPr>
          <w:color w:val="auto"/>
        </w:rPr>
      </w:pPr>
      <w:r>
        <w:rPr>
          <w:color w:val="auto"/>
        </w:rPr>
      </w:r>
    </w:p>
    <w:p>
      <w:pPr>
        <w:pStyle w:val="BodyText2"/>
        <w:numPr>
          <w:ilvl w:val="0"/>
          <w:numId w:val="4"/>
        </w:numPr>
        <w:tabs>
          <w:tab w:val="clear" w:pos="720"/>
          <w:tab w:val="left" w:pos="360" w:leader="none"/>
        </w:tabs>
        <w:bidi w:val="0"/>
        <w:spacing w:before="0" w:after="0"/>
        <w:ind w:hanging="360" w:start="360" w:end="0"/>
        <w:jc w:val="both"/>
        <w:rPr>
          <w:color w:val="auto"/>
        </w:rPr>
      </w:pPr>
      <w:r>
        <w:rPr/>
        <w:t>Attempt to get Furnas to sign the original Consent from Assumption Agreement and if they refuse r</w:t>
      </w:r>
      <w:r>
        <w:rPr>
          <w:color w:val="auto"/>
        </w:rPr>
        <w:t xml:space="preserve">ely on i) the irrefutable obligation to sign evidenced by the Assumption Agreement and ii) rely on Eletrobras’ performance guarantee under section [        ]      of the PPA.    </w:t>
      </w:r>
    </w:p>
    <w:p>
      <w:pPr>
        <w:pStyle w:val="BodyText2"/>
        <w:bidi w:val="0"/>
        <w:spacing w:before="0" w:after="0"/>
        <w:ind w:end="0"/>
        <w:jc w:val="both"/>
        <w:rPr>
          <w:color w:val="auto"/>
        </w:rPr>
      </w:pPr>
      <w:r>
        <w:rPr>
          <w:color w:val="auto"/>
        </w:rPr>
      </w:r>
    </w:p>
    <w:p>
      <w:pPr>
        <w:pStyle w:val="Normal"/>
        <w:numPr>
          <w:ilvl w:val="0"/>
          <w:numId w:val="4"/>
        </w:numPr>
        <w:tabs>
          <w:tab w:val="clear" w:pos="720"/>
          <w:tab w:val="left" w:pos="360" w:leader="none"/>
        </w:tabs>
        <w:bidi w:val="0"/>
        <w:jc w:val="start"/>
        <w:rPr>
          <w:rFonts w:ascii="Arial" w:hAnsi="Arial"/>
          <w:color w:val="000000"/>
          <w:sz w:val="24"/>
        </w:rPr>
      </w:pPr>
      <w:r>
        <w:rPr>
          <w:rFonts w:ascii="Arial" w:hAnsi="Arial"/>
          <w:color w:val="000000"/>
          <w:sz w:val="24"/>
        </w:rPr>
        <w:t>Utilize the legal process reviewed by Felsberg involving registered notification to Furnas of the fact that lender consent is required for EPE to revise documents.    Such notification followed by a legal filing similar to filing security documentation prevents Furnas from asserting in court that they believed that they could rely solely on a signature of a representative of the company with respect to any changes to the PPA.    Lenders can also rely on the Golden Quota to insure that their vote is required in order for the board to issue a resolution allowing a change to a Project Document.</w:t>
      </w:r>
    </w:p>
    <w:p>
      <w:pPr>
        <w:pStyle w:val="BodyText2"/>
        <w:bidi w:val="0"/>
        <w:spacing w:before="0" w:after="0"/>
        <w:ind w:end="0"/>
        <w:jc w:val="both"/>
        <w:rPr>
          <w:color w:val="auto"/>
        </w:rPr>
      </w:pPr>
      <w:r>
        <w:rPr>
          <w:color w:val="auto"/>
        </w:rPr>
      </w:r>
    </w:p>
    <w:p>
      <w:pPr>
        <w:pStyle w:val="BodyText2"/>
        <w:bidi w:val="0"/>
        <w:spacing w:before="0" w:after="0"/>
        <w:ind w:end="0"/>
        <w:jc w:val="both"/>
        <w:rPr>
          <w:color w:val="auto"/>
        </w:rPr>
      </w:pPr>
      <w:r>
        <w:rPr>
          <w:color w:val="auto"/>
        </w:rPr>
        <w:t>Step 2: (If Step 1 fails)</w:t>
      </w:r>
    </w:p>
    <w:p>
      <w:pPr>
        <w:pStyle w:val="BodyText2"/>
        <w:bidi w:val="0"/>
        <w:spacing w:before="0" w:after="0"/>
        <w:ind w:end="0"/>
        <w:jc w:val="both"/>
        <w:rPr>
          <w:color w:val="auto"/>
        </w:rPr>
      </w:pPr>
      <w:r>
        <w:rPr>
          <w:color w:val="auto"/>
        </w:rPr>
      </w:r>
    </w:p>
    <w:p>
      <w:pPr>
        <w:pStyle w:val="BodyText2"/>
        <w:numPr>
          <w:ilvl w:val="0"/>
          <w:numId w:val="3"/>
        </w:numPr>
        <w:tabs>
          <w:tab w:val="clear" w:pos="720"/>
          <w:tab w:val="left" w:pos="360" w:leader="none"/>
        </w:tabs>
        <w:bidi w:val="0"/>
        <w:ind w:hanging="360" w:start="360" w:end="0"/>
        <w:jc w:val="start"/>
        <w:rPr/>
      </w:pPr>
      <w:r>
        <w:rPr/>
        <w:t xml:space="preserve">Consider    3rd Party Professor’s Legal Brief on the sustainability of the Eletrobras Guarantee    obligations following a Furnas privatization.    Enron has engaged a respected legal academician to review the integrity of the Eletrobras Guarantee in light of the legislation which Maria Apericida claims has impacted their obligations. The conclusion was that legislation subsequent could not impair the obligations.    If Felsberg and other Lenders counsel can get comfortable that the courts would concur, then perhaps the seriousness of the concerns are greatly diminished. </w:t>
      </w:r>
    </w:p>
    <w:p>
      <w:pPr>
        <w:pStyle w:val="BodyText2"/>
        <w:bidi w:val="0"/>
        <w:ind w:end="0"/>
        <w:jc w:val="start"/>
        <w:rPr/>
      </w:pPr>
      <w:r>
        <w:rPr/>
      </w:r>
    </w:p>
    <w:p>
      <w:pPr>
        <w:pStyle w:val="BodyText2"/>
        <w:numPr>
          <w:ilvl w:val="0"/>
          <w:numId w:val="3"/>
        </w:numPr>
        <w:tabs>
          <w:tab w:val="clear" w:pos="720"/>
          <w:tab w:val="left" w:pos="360" w:leader="none"/>
        </w:tabs>
        <w:bidi w:val="0"/>
        <w:ind w:hanging="360" w:start="360" w:end="0"/>
        <w:jc w:val="start"/>
        <w:rPr/>
      </w:pPr>
      <w:r>
        <w:rPr/>
        <w:t>(review similarities of situation for EXIM &amp; IADB in Mexico in CFE transactions)</w:t>
      </w:r>
    </w:p>
    <w:p>
      <w:pPr>
        <w:pStyle w:val="BodyText2"/>
        <w:bidi w:val="0"/>
        <w:ind w:end="0"/>
        <w:jc w:val="start"/>
        <w:rPr>
          <w:b/>
        </w:rPr>
      </w:pPr>
      <w:r>
        <w:rPr>
          <w:b/>
        </w:rPr>
      </w:r>
    </w:p>
    <w:p>
      <w:pPr>
        <w:pStyle w:val="BodyText2"/>
        <w:numPr>
          <w:ilvl w:val="0"/>
          <w:numId w:val="3"/>
        </w:numPr>
        <w:tabs>
          <w:tab w:val="clear" w:pos="720"/>
          <w:tab w:val="left" w:pos="360" w:leader="none"/>
        </w:tabs>
        <w:bidi w:val="0"/>
        <w:spacing w:before="0" w:after="0"/>
        <w:ind w:hanging="360" w:start="360" w:end="0"/>
        <w:jc w:val="both"/>
        <w:rPr>
          <w:color w:val="auto"/>
        </w:rPr>
      </w:pPr>
      <w:r>
        <w:rPr/>
        <w:t>R</w:t>
      </w:r>
      <w:r>
        <w:rPr>
          <w:color w:val="auto"/>
        </w:rPr>
        <w:t>ely on the Assumption Agreement and Eletrobras’ performance guarantee under section [        ]      of the PPA in lieu of the Furnas consent.</w:t>
      </w:r>
    </w:p>
    <w:p>
      <w:pPr>
        <w:pStyle w:val="BodyText2"/>
        <w:bidi w:val="0"/>
        <w:spacing w:before="0" w:after="0"/>
        <w:ind w:end="0"/>
        <w:jc w:val="both"/>
        <w:rPr/>
      </w:pPr>
      <w:r>
        <w:rPr/>
      </w:r>
    </w:p>
    <w:p>
      <w:pPr>
        <w:pStyle w:val="Normal"/>
        <w:numPr>
          <w:ilvl w:val="0"/>
          <w:numId w:val="3"/>
        </w:numPr>
        <w:tabs>
          <w:tab w:val="clear" w:pos="720"/>
          <w:tab w:val="left" w:pos="360" w:leader="none"/>
        </w:tabs>
        <w:bidi w:val="0"/>
        <w:jc w:val="start"/>
        <w:rPr>
          <w:rFonts w:ascii="Arial" w:hAnsi="Arial"/>
          <w:color w:val="000000"/>
          <w:sz w:val="24"/>
        </w:rPr>
      </w:pPr>
      <w:r>
        <w:rPr>
          <w:rFonts w:ascii="Arial" w:hAnsi="Arial"/>
          <w:color w:val="000000"/>
          <w:sz w:val="24"/>
        </w:rPr>
        <w:t>Utilize legal process involving registered notification to Furnas of lender consent required for EPE to revise documents and Golden Quota in lieu of Consent.</w:t>
      </w:r>
    </w:p>
    <w:p>
      <w:pPr>
        <w:pStyle w:val="BodyText2"/>
        <w:bidi w:val="0"/>
        <w:spacing w:before="0" w:after="0"/>
        <w:ind w:end="0"/>
        <w:jc w:val="both"/>
        <w:rPr>
          <w:color w:val="auto"/>
        </w:rPr>
      </w:pPr>
      <w:r>
        <w:rPr>
          <w:color w:val="auto"/>
        </w:rPr>
      </w:r>
    </w:p>
    <w:p>
      <w:pPr>
        <w:pStyle w:val="BodyText2"/>
        <w:bidi w:val="0"/>
        <w:spacing w:before="0" w:after="0"/>
        <w:ind w:end="0"/>
        <w:jc w:val="both"/>
        <w:rPr>
          <w:color w:val="auto"/>
        </w:rPr>
      </w:pPr>
      <w:r>
        <w:rPr>
          <w:b/>
          <w:color w:val="auto"/>
        </w:rPr>
        <w:t>Reduced Ownership in EPE</w:t>
      </w:r>
    </w:p>
    <w:p>
      <w:pPr>
        <w:pStyle w:val="BodyText2"/>
        <w:bidi w:val="0"/>
        <w:spacing w:before="0" w:after="0"/>
        <w:ind w:end="0"/>
        <w:jc w:val="both"/>
        <w:rPr>
          <w:color w:val="auto"/>
        </w:rPr>
      </w:pPr>
      <w:r>
        <w:rPr>
          <w:color w:val="auto"/>
        </w:rPr>
      </w:r>
    </w:p>
    <w:p>
      <w:pPr>
        <w:pStyle w:val="BodyText2"/>
        <w:bidi w:val="0"/>
        <w:spacing w:before="0" w:after="0"/>
        <w:ind w:end="0"/>
        <w:jc w:val="both"/>
        <w:rPr>
          <w:color w:val="auto"/>
        </w:rPr>
      </w:pPr>
      <w:r>
        <w:rPr>
          <w:color w:val="auto"/>
        </w:rPr>
        <w:t>Currently the yield on the debt will exceed the equity return.    In order to obtain more flexibility in improving the economic exposure the Sponsors would like to be able to divide the gas opportunity from the power opportunity.    As a result they request that the lenders consider allowing 100% sell down of EPE without lender consent, with a restriction on maintaining a net 25% ownership in GASBOL and GASMAT.        The Sponsors query whether this could be acceptable and whether the proposed restriction would meet OPIC’s US ownership criteria, given that their debt will be loaned predominantly to GASBOL and GASMAT.</w:t>
      </w:r>
    </w:p>
    <w:p>
      <w:pPr>
        <w:pStyle w:val="Normal"/>
        <w:bidi w:val="0"/>
        <w:spacing w:before="0" w:after="0"/>
        <w:jc w:val="both"/>
        <w:rPr>
          <w:rFonts w:ascii="Arial" w:hAnsi="Arial"/>
          <w:sz w:val="24"/>
        </w:rPr>
      </w:pPr>
      <w:r>
        <w:rPr>
          <w:rFonts w:ascii="Arial" w:hAnsi="Arial"/>
          <w:sz w:val="24"/>
        </w:rPr>
      </w:r>
    </w:p>
    <w:sectPr>
      <w:headerReference w:type="even" r:id="rId4"/>
      <w:headerReference w:type="default" r:id="rId5"/>
      <w:headerReference w:type="first" r:id="rId6"/>
      <w:type w:val="nextPage"/>
      <w:pgSz w:w="12240" w:h="15840"/>
      <w:pgMar w:left="1440" w:right="1440" w:gutter="0" w:header="720" w:top="777" w:footer="0" w:bottom="72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before="60" w:after="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before="60" w:after="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spacing w:before="60" w:after="720"/>
      <w:jc w:val="start"/>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08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60" w:after="60"/>
    </w:pPr>
    <w:rPr>
      <w:rFonts w:ascii="Times New Roman" w:hAnsi="Times New Roman" w:eastAsia="Symbol" w:cs="NotoSans NF"/>
      <w:color w:val="auto"/>
      <w:kern w:val="2"/>
      <w:sz w:val="20"/>
      <w:szCs w:val="24"/>
      <w:lang w:val="en-US" w:eastAsia="zh-CN" w:bidi="hi-IN"/>
    </w:rPr>
  </w:style>
  <w:style w:type="paragraph" w:styleId="Heading1">
    <w:name w:val="heading 1"/>
    <w:basedOn w:val="Normal"/>
    <w:next w:val="Normal"/>
    <w:qFormat/>
    <w:pPr>
      <w:widowControl/>
      <w:spacing w:before="180" w:after="0"/>
    </w:pPr>
    <w:rPr>
      <w:b/>
    </w:rPr>
  </w:style>
  <w:style w:type="paragraph" w:styleId="Heading2">
    <w:name w:val="heading 2"/>
    <w:basedOn w:val="Heading1"/>
    <w:next w:val="Normal"/>
    <w:qFormat/>
    <w:pPr>
      <w:widowControl/>
      <w:spacing w:before="120" w:after="0"/>
      <w:outlineLvl w:val="0"/>
    </w:pPr>
    <w:rPr>
      <w:b/>
      <w:sz w:val="22"/>
    </w:rPr>
  </w:style>
  <w:style w:type="paragraph" w:styleId="Heading3">
    <w:name w:val="heading 3"/>
    <w:basedOn w:val="Heading2"/>
    <w:next w:val="Normal"/>
    <w:qFormat/>
    <w:pPr>
      <w:widowControl/>
      <w:spacing w:before="120" w:after="0"/>
      <w:outlineLvl w:val="1"/>
    </w:pPr>
    <w:rPr>
      <w:b/>
      <w:sz w:val="20"/>
    </w:rPr>
  </w:style>
  <w:style w:type="paragraph" w:styleId="Heading4">
    <w:name w:val="heading 4"/>
    <w:basedOn w:val="Normal"/>
    <w:next w:val="Normal"/>
    <w:qFormat/>
    <w:pPr>
      <w:keepNext w:val="true"/>
      <w:widowControl/>
      <w:spacing w:before="60" w:after="0"/>
      <w:jc w:val="center"/>
      <w:outlineLvl w:val="3"/>
    </w:pPr>
    <w:rPr>
      <w:rFonts w:ascii="Arial" w:hAnsi="Arial"/>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60" w:after="0"/>
      <w:jc w:val="both"/>
    </w:pPr>
    <w:rPr>
      <w:rFonts w:ascii="Arial" w:hAnsi="Arial"/>
    </w:rPr>
  </w:style>
  <w:style w:type="paragraph" w:styleId="List">
    <w:name w:val="List"/>
    <w:basedOn w:val="Normal"/>
    <w:pPr>
      <w:widowControl/>
      <w:spacing w:before="60" w:after="60"/>
      <w:ind w:hanging="360" w:start="720"/>
    </w:pPr>
    <w:rPr>
      <w:sz w:val="20"/>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 w:val="right" w:pos="9000" w:leader="none"/>
      </w:tabs>
      <w:spacing w:before="60" w:after="0"/>
    </w:pPr>
    <w:rPr>
      <w:sz w:val="20"/>
    </w:rPr>
  </w:style>
  <w:style w:type="paragraph" w:styleId="FootnoteText">
    <w:name w:val="footnote text"/>
    <w:basedOn w:val="Normal"/>
    <w:pPr>
      <w:widowControl/>
      <w:spacing w:before="60" w:after="60"/>
      <w:ind w:hanging="360" w:start="360"/>
    </w:pPr>
    <w:rPr>
      <w:sz w:val="20"/>
    </w:rPr>
  </w:style>
  <w:style w:type="paragraph" w:styleId="NormalIndent">
    <w:name w:val="Normal Indent"/>
    <w:basedOn w:val="Normal"/>
    <w:qFormat/>
    <w:pPr>
      <w:widowControl/>
      <w:spacing w:before="60" w:after="60"/>
      <w:ind w:hanging="0" w:start="720"/>
    </w:pPr>
    <w:rPr>
      <w:sz w:val="20"/>
    </w:rPr>
  </w:style>
  <w:style w:type="paragraph" w:styleId="SubList">
    <w:name w:val="SubList"/>
    <w:qFormat/>
    <w:pPr>
      <w:widowControl/>
      <w:bidi w:val="0"/>
      <w:spacing w:before="60" w:after="60"/>
      <w:ind w:hanging="360" w:start="1440"/>
    </w:pPr>
    <w:rPr>
      <w:rFonts w:ascii="Liberation Serif" w:hAnsi="Liberation Serif" w:eastAsia="Liberation Sans" w:cs="NotoSans NF"/>
      <w:color w:val="auto"/>
      <w:kern w:val="2"/>
      <w:sz w:val="20"/>
      <w:szCs w:val="24"/>
      <w:lang w:val="en-US" w:eastAsia="zh-CN" w:bidi="hi-IN"/>
    </w:rPr>
  </w:style>
  <w:style w:type="paragraph" w:styleId="Subject">
    <w:name w:val="Subject"/>
    <w:basedOn w:val="Normal"/>
    <w:qFormat/>
    <w:pPr>
      <w:widowControl/>
      <w:spacing w:before="60" w:after="60"/>
    </w:pPr>
    <w:rPr>
      <w:sz w:val="20"/>
    </w:rPr>
  </w:style>
  <w:style w:type="paragraph" w:styleId="Date">
    <w:name w:val="Date"/>
    <w:basedOn w:val="Normal"/>
    <w:qFormat/>
    <w:pPr>
      <w:widowControl/>
      <w:spacing w:before="60" w:after="60"/>
    </w:pPr>
    <w:rPr>
      <w:sz w:val="20"/>
    </w:rPr>
  </w:style>
  <w:style w:type="paragraph" w:styleId="To">
    <w:name w:val="To"/>
    <w:basedOn w:val="Normal"/>
    <w:qFormat/>
    <w:pPr>
      <w:widowControl/>
      <w:spacing w:before="60" w:after="60"/>
    </w:pPr>
    <w:rPr>
      <w:sz w:val="20"/>
    </w:rPr>
  </w:style>
  <w:style w:type="paragraph" w:styleId="From">
    <w:name w:val="From"/>
    <w:basedOn w:val="Normal"/>
    <w:qFormat/>
    <w:pPr>
      <w:widowControl/>
      <w:spacing w:before="60" w:after="60"/>
    </w:pPr>
    <w:rPr>
      <w:sz w:val="20"/>
    </w:rPr>
  </w:style>
  <w:style w:type="paragraph" w:styleId="Title">
    <w:name w:val="Title"/>
    <w:basedOn w:val="Heading1"/>
    <w:qFormat/>
    <w:pPr>
      <w:widowControl/>
      <w:spacing w:before="180" w:after="0"/>
    </w:pPr>
    <w:rPr>
      <w:b/>
    </w:rPr>
  </w:style>
  <w:style w:type="paragraph" w:styleId="Closed">
    <w:name w:val="Closed"/>
    <w:basedOn w:val="Normal"/>
    <w:qFormat/>
    <w:pPr>
      <w:widowControl/>
      <w:spacing w:before="60" w:after="0"/>
    </w:pPr>
    <w:rPr>
      <w:sz w:val="20"/>
    </w:rPr>
  </w:style>
  <w:style w:type="paragraph" w:styleId="CopyList">
    <w:name w:val="CopyList"/>
    <w:basedOn w:val="Normal"/>
    <w:qFormat/>
    <w:pPr>
      <w:widowControl/>
      <w:tabs>
        <w:tab w:val="clear" w:pos="720"/>
        <w:tab w:val="left" w:pos="504" w:leader="none"/>
      </w:tabs>
      <w:spacing w:before="360" w:after="0"/>
      <w:ind w:hanging="504" w:start="504"/>
    </w:pPr>
    <w:rPr>
      <w:sz w:val="20"/>
    </w:rPr>
  </w:style>
  <w:style w:type="paragraph" w:styleId="Footer">
    <w:name w:val="footer"/>
    <w:basedOn w:val="Normal"/>
    <w:pPr>
      <w:widowControl/>
      <w:tabs>
        <w:tab w:val="clear" w:pos="720"/>
        <w:tab w:val="center" w:pos="4320" w:leader="none"/>
        <w:tab w:val="right" w:pos="8640" w:leader="none"/>
      </w:tabs>
      <w:spacing w:before="60" w:after="60"/>
    </w:pPr>
    <w:rPr>
      <w:sz w:val="20"/>
    </w:rPr>
  </w:style>
  <w:style w:type="paragraph" w:styleId="BodyText2">
    <w:name w:val="Body Text 2"/>
    <w:basedOn w:val="Normal"/>
    <w:qFormat/>
    <w:pPr>
      <w:widowControl/>
      <w:spacing w:before="60" w:after="60"/>
      <w:ind w:end="-450"/>
    </w:pPr>
    <w:rPr>
      <w:rFonts w:ascii="Arial" w:hAnsi="Arial"/>
      <w:color w:val="00000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LibreOffice/25.2.7.0.0$Linux_X86_64 LibreOffice_project/c3912edc4c615b55f2051310c417e592ac3ce905</Application>
  <AppVersion>15.0000</AppVersion>
  <Pages>99</Pages>
  <Words>792</Words>
  <Characters>0</Characters>
  <CharactersWithSpaces>4520</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2001-01-30T07:59:00Z</dcterms:created>
  <dc:creator>EDC</dc:creator>
  <dc:description/>
  <dc:language>en-US</dc:language>
  <cp:lastModifiedBy/>
  <cp:lastPrinted>2000-05-16T10:08:00Z</cp:lastPrinted>
  <dcterms:modified xsi:type="dcterms:W3CDTF">2001-01-31T15:08:00Z</dcterms:modified>
  <cp:revision>26</cp:revision>
  <dc:subject>1998 Performance Management Review Process</dc:subject>
  <dc:title>Enron International Memo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Enron Technology</vt:lpwstr>
  </property>
</Properties>
</file>