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rPr>
      </w:pPr>
      <w:r>
        <w:rPr>
          <w:b/>
        </w:rPr>
        <w:t>LEGISLATIVE AND REGULATORY STRATEGY TO ADDRESS THE STATE OF CALIFORNIA DEREGULATION AND CURRENT MARKET CONDITIONS</w:t>
      </w:r>
    </w:p>
    <w:p>
      <w:pPr>
        <w:pStyle w:val="Normal"/>
        <w:spacing w:lineRule="auto" w:line="360"/>
        <w:rPr>
          <w:b/>
        </w:rPr>
      </w:pPr>
      <w:r>
        <w:rPr>
          <w:b/>
        </w:rPr>
      </w:r>
    </w:p>
    <w:p>
      <w:pPr>
        <w:pStyle w:val="Normal"/>
        <w:spacing w:lineRule="auto" w:line="360"/>
        <w:ind w:hanging="720" w:start="1440" w:end="0"/>
        <w:rPr>
          <w:u w:val="single"/>
        </w:rPr>
      </w:pPr>
      <w:r>
        <w:rPr>
          <w:u w:val="single"/>
        </w:rPr>
        <w:t>I.</w:t>
        <w:tab/>
        <w:t>SUMMARY OF RECOMMENDED LEGISLATIVE AND REGULATORY STRATEGY</w:t>
      </w:r>
    </w:p>
    <w:p>
      <w:pPr>
        <w:pStyle w:val="Normal"/>
        <w:spacing w:lineRule="auto" w:line="360"/>
        <w:rPr>
          <w:u w:val="single"/>
        </w:rPr>
      </w:pPr>
      <w:r>
        <w:rPr>
          <w:u w:val="single"/>
        </w:rPr>
      </w:r>
    </w:p>
    <w:p>
      <w:pPr>
        <w:pStyle w:val="Normal"/>
        <w:spacing w:lineRule="auto" w:line="360"/>
        <w:rPr/>
      </w:pPr>
      <w:r>
        <w:rPr/>
        <w:t>In the best interest of current positions and future business, the following is a summary of recommended legislative and regulatory strategy in California</w:t>
      </w:r>
      <w:r>
        <w:rPr>
          <w:rStyle w:val="FootnoteCharacters"/>
          <w:rStyle w:val="FootnoteReference"/>
        </w:rPr>
        <w:footnoteReference w:id="2"/>
      </w:r>
      <w:r>
        <w:rPr/>
        <w:t>.  The following strategies are designed to be a simple solution to address the current market structure and conditions with minimal disruption:</w:t>
      </w:r>
    </w:p>
    <w:p>
      <w:pPr>
        <w:pStyle w:val="Normal"/>
        <w:spacing w:lineRule="auto" w:line="360"/>
        <w:rPr/>
      </w:pPr>
      <w:r>
        <w:rPr/>
      </w:r>
    </w:p>
    <w:p>
      <w:pPr>
        <w:pStyle w:val="Normal"/>
        <w:numPr>
          <w:ilvl w:val="0"/>
          <w:numId w:val="3"/>
        </w:numPr>
        <w:spacing w:lineRule="auto" w:line="360"/>
        <w:ind w:hanging="0" w:start="360" w:end="0"/>
        <w:rPr/>
      </w:pPr>
      <w:r>
        <w:rPr/>
        <w:t>Legislative amendments to AB1890 to (a) extend the rate freeze to end no earlier than December 31, 2001 and no later than December 31, 2004, and (b) remove the requirement to value non-nuclear generation assets;</w:t>
      </w:r>
    </w:p>
    <w:p>
      <w:pPr>
        <w:pStyle w:val="Normal"/>
        <w:numPr>
          <w:ilvl w:val="0"/>
          <w:numId w:val="3"/>
        </w:numPr>
        <w:spacing w:lineRule="auto" w:line="360"/>
        <w:ind w:hanging="0" w:start="360" w:end="0"/>
        <w:rPr/>
      </w:pPr>
      <w:r>
        <w:rPr/>
        <w:t>CPUC decision providing utilities future relief based on examination of accrued stranded benefits from retained nuclear and non-nuclear generation assets, potential future valuation of nuclear and non-nuclear generation assets, and post-freeze recovery of any remaining undercollections based on an examination of utility going forward benefits from deregulation;</w:t>
      </w:r>
    </w:p>
    <w:p>
      <w:pPr>
        <w:pStyle w:val="Normal"/>
        <w:numPr>
          <w:ilvl w:val="0"/>
          <w:numId w:val="3"/>
        </w:numPr>
        <w:spacing w:lineRule="auto" w:line="360"/>
        <w:ind w:hanging="0" w:start="360" w:end="0"/>
        <w:rPr/>
      </w:pPr>
      <w:r>
        <w:rPr/>
        <w:t>Amend contracts to switch customers to Standard Offer under the rate freeze with financial settlements of contracts to avoid physical delivery risk;</w:t>
      </w:r>
    </w:p>
    <w:p>
      <w:pPr>
        <w:pStyle w:val="Normal"/>
        <w:numPr>
          <w:ilvl w:val="0"/>
          <w:numId w:val="3"/>
        </w:numPr>
        <w:spacing w:lineRule="auto" w:line="360"/>
        <w:ind w:hanging="0" w:start="360" w:end="0"/>
        <w:rPr/>
      </w:pPr>
      <w:r>
        <w:rPr/>
        <w:t>If necessary, Legislative action to loan utilities money from the expected State budget surplus to weather the current market conditions in the best interest of consumers and the California economy, or a Legislative amendment to AB1890 to increase frozen rates by a modest percentage.</w:t>
      </w:r>
    </w:p>
    <w:p>
      <w:pPr>
        <w:pStyle w:val="Normal"/>
        <w:numPr>
          <w:ilvl w:val="0"/>
          <w:numId w:val="3"/>
        </w:numPr>
        <w:spacing w:lineRule="auto" w:line="360"/>
        <w:ind w:hanging="0" w:start="360" w:end="0"/>
        <w:rPr/>
      </w:pPr>
      <w:r>
        <w:rPr/>
        <w:t xml:space="preserve">Alternatively, action by the CPUC to value non-nuclear generation assets on December 31, 2001, with the value of the non-nuclear assets and accrued stranded benefits from nuclear generation used to fully or partially offset CPUC-determined undercollections eligible for post-freeze recovery. </w:t>
      </w:r>
    </w:p>
    <w:p>
      <w:pPr>
        <w:pStyle w:val="Normal"/>
        <w:spacing w:lineRule="auto" w:line="360"/>
        <w:rPr/>
      </w:pPr>
      <w:r>
        <w:rPr/>
      </w:r>
    </w:p>
    <w:p>
      <w:pPr>
        <w:pStyle w:val="Normal"/>
        <w:spacing w:lineRule="auto" w:line="360"/>
        <w:ind w:hanging="720" w:start="1440" w:end="0"/>
        <w:rPr>
          <w:u w:val="single"/>
        </w:rPr>
      </w:pPr>
      <w:r>
        <w:rPr>
          <w:u w:val="single"/>
        </w:rPr>
        <w:t>II.</w:t>
        <w:tab/>
        <w:t>THE OBJECTIVES OF CALIFORNIA DEREGULATION</w:t>
      </w:r>
    </w:p>
    <w:p>
      <w:pPr>
        <w:pStyle w:val="Normal"/>
        <w:spacing w:lineRule="auto" w:line="360"/>
        <w:rPr/>
      </w:pPr>
      <w:r>
        <w:rPr/>
      </w:r>
    </w:p>
    <w:p>
      <w:pPr>
        <w:pStyle w:val="Normal"/>
        <w:spacing w:lineRule="auto" w:line="360"/>
        <w:rPr/>
      </w:pPr>
      <w:r>
        <w:rPr/>
        <w:t>AB1890 was enacted by the California in 1996 to achieve the following:</w:t>
      </w:r>
    </w:p>
    <w:p>
      <w:pPr>
        <w:pStyle w:val="Normal"/>
        <w:spacing w:lineRule="auto" w:line="360"/>
        <w:rPr/>
      </w:pPr>
      <w:r>
        <w:rPr/>
      </w:r>
    </w:p>
    <w:p>
      <w:pPr>
        <w:pStyle w:val="Normal"/>
        <w:numPr>
          <w:ilvl w:val="0"/>
          <w:numId w:val="6"/>
        </w:numPr>
        <w:spacing w:lineRule="auto" w:line="360"/>
        <w:ind w:hanging="0" w:start="360" w:end="0"/>
        <w:rPr/>
      </w:pPr>
      <w:r>
        <w:rPr/>
        <w:t>Provide California consumers stable rates through the transition period to a deregulated electric market;</w:t>
      </w:r>
    </w:p>
    <w:p>
      <w:pPr>
        <w:pStyle w:val="Normal"/>
        <w:numPr>
          <w:ilvl w:val="0"/>
          <w:numId w:val="6"/>
        </w:numPr>
        <w:spacing w:lineRule="auto" w:line="360"/>
        <w:ind w:hanging="0" w:start="360" w:end="0"/>
        <w:rPr/>
      </w:pPr>
      <w:r>
        <w:rPr/>
        <w:t>Develop a deregulated electric market to effectuate lower electric rates and develop generation supplies to meet California’s load growth; and</w:t>
      </w:r>
    </w:p>
    <w:p>
      <w:pPr>
        <w:pStyle w:val="Normal"/>
        <w:numPr>
          <w:ilvl w:val="0"/>
          <w:numId w:val="6"/>
        </w:numPr>
        <w:spacing w:lineRule="auto" w:line="360"/>
        <w:ind w:hanging="0" w:start="360" w:end="0"/>
        <w:rPr/>
      </w:pPr>
      <w:r>
        <w:rPr/>
        <w:t>Provide the Investor owned utilities an opportunity to recover stranded costs that might result from deregulation.</w:t>
      </w:r>
    </w:p>
    <w:p>
      <w:pPr>
        <w:pStyle w:val="Normal"/>
        <w:spacing w:lineRule="auto" w:line="360"/>
        <w:rPr/>
      </w:pPr>
      <w:r>
        <w:rPr/>
      </w:r>
    </w:p>
    <w:p>
      <w:pPr>
        <w:pStyle w:val="Normal"/>
        <w:spacing w:lineRule="auto" w:line="360"/>
        <w:rPr/>
      </w:pPr>
      <w:r>
        <w:rPr/>
        <w:t>Solutions to current market conditions must address these three principles.  Any plan that would abandon one of these three principles could be viewed as a costly failure by the State of California and could send California into a recession death spiral that could take decades to recover from.</w:t>
      </w:r>
      <w:r>
        <w:rPr>
          <w:rStyle w:val="FootnoteCharacters"/>
          <w:rStyle w:val="FootnoteReference"/>
        </w:rPr>
        <w:footnoteReference w:id="3"/>
      </w:r>
      <w:r>
        <w:rPr/>
        <w:t xml:space="preserve">  The State of California has an opportunity to achieve these original objectives, albeit on a longer time frame than originally expected, as long as California implements a plan to address current market conditions.  If the Governor, Legislators, and Regulators truly believe that the current wholesale market is dysfunctional, then it would be irresponsible to force any consumers onto the market.  The State economy is based on an interdependent relationship between small and large consumers.</w:t>
      </w:r>
    </w:p>
    <w:p>
      <w:pPr>
        <w:pStyle w:val="Normal"/>
        <w:spacing w:lineRule="auto" w:line="360"/>
        <w:rPr/>
      </w:pPr>
      <w:r>
        <w:rPr/>
      </w:r>
    </w:p>
    <w:p>
      <w:pPr>
        <w:pStyle w:val="Normal"/>
        <w:spacing w:lineRule="auto" w:line="360"/>
        <w:ind w:hanging="720" w:start="1440" w:end="0"/>
        <w:rPr>
          <w:u w:val="single"/>
        </w:rPr>
      </w:pPr>
      <w:r>
        <w:rPr>
          <w:u w:val="single"/>
        </w:rPr>
        <w:t>III.</w:t>
        <w:tab/>
        <w:t>CURRENT MARKET CONDITIONS</w:t>
      </w:r>
    </w:p>
    <w:p>
      <w:pPr>
        <w:pStyle w:val="Normal"/>
        <w:spacing w:lineRule="auto" w:line="360"/>
        <w:rPr/>
      </w:pPr>
      <w:r>
        <w:rPr/>
      </w:r>
    </w:p>
    <w:p>
      <w:pPr>
        <w:pStyle w:val="Normal"/>
        <w:spacing w:lineRule="auto" w:line="360"/>
        <w:rPr/>
      </w:pPr>
      <w:r>
        <w:rPr/>
        <w:t>Due to natural gas and electric supply shortages and weather conditions, amongst other factors, the current electric market condition in California is unstable.  Electric supply shortages is largely attributed to the fact that new power plants were not previously built under regulation.  The culmination of various factors have turned into what many have deemed as the “perfect storm.”  The three main concerns that have been raised by various parties are:</w:t>
      </w:r>
    </w:p>
    <w:p>
      <w:pPr>
        <w:pStyle w:val="Normal"/>
        <w:spacing w:lineRule="auto" w:line="360"/>
        <w:rPr/>
      </w:pPr>
      <w:r>
        <w:rPr/>
      </w:r>
    </w:p>
    <w:p>
      <w:pPr>
        <w:pStyle w:val="Normal"/>
        <w:numPr>
          <w:ilvl w:val="0"/>
          <w:numId w:val="9"/>
        </w:numPr>
        <w:tabs>
          <w:tab w:val="clear" w:pos="720"/>
          <w:tab w:val="left" w:pos="405" w:leader="none"/>
        </w:tabs>
        <w:spacing w:lineRule="auto" w:line="360"/>
        <w:ind w:hanging="0" w:start="405" w:end="0"/>
        <w:rPr/>
      </w:pPr>
      <w:r>
        <w:rPr/>
        <w:t>Supply shortages and resulting price increases evidenced by the threat of rolling blackouts and the procurement cost of energy;</w:t>
      </w:r>
    </w:p>
    <w:p>
      <w:pPr>
        <w:pStyle w:val="Normal"/>
        <w:numPr>
          <w:ilvl w:val="0"/>
          <w:numId w:val="9"/>
        </w:numPr>
        <w:tabs>
          <w:tab w:val="clear" w:pos="720"/>
          <w:tab w:val="left" w:pos="405" w:leader="none"/>
        </w:tabs>
        <w:spacing w:lineRule="auto" w:line="360"/>
        <w:ind w:hanging="0" w:start="405" w:end="0"/>
        <w:rPr/>
      </w:pPr>
      <w:r>
        <w:rPr/>
        <w:t>Utility cash flow issues due to high prices; and</w:t>
      </w:r>
    </w:p>
    <w:p>
      <w:pPr>
        <w:pStyle w:val="Normal"/>
        <w:numPr>
          <w:ilvl w:val="0"/>
          <w:numId w:val="9"/>
        </w:numPr>
        <w:tabs>
          <w:tab w:val="clear" w:pos="720"/>
          <w:tab w:val="left" w:pos="405" w:leader="none"/>
        </w:tabs>
        <w:spacing w:lineRule="auto" w:line="360"/>
        <w:ind w:hanging="0" w:start="405" w:end="0"/>
        <w:rPr/>
      </w:pPr>
      <w:r>
        <w:rPr/>
        <w:t>Balance sheet concerns raised by the utilities from the uncertainty of valuation of retained generation assets, high prices for energy, and recovery of undercollections.</w:t>
      </w:r>
      <w:r>
        <w:rPr>
          <w:rStyle w:val="FootnoteCharacters"/>
          <w:rStyle w:val="FootnoteReference"/>
        </w:rPr>
        <w:footnoteReference w:id="4"/>
      </w:r>
    </w:p>
    <w:p>
      <w:pPr>
        <w:pStyle w:val="Normal"/>
        <w:spacing w:lineRule="auto" w:line="360"/>
        <w:ind w:start="45" w:end="0"/>
        <w:rPr/>
      </w:pPr>
      <w:r>
        <w:rPr/>
      </w:r>
    </w:p>
    <w:p>
      <w:pPr>
        <w:pStyle w:val="BodyTextIndent"/>
        <w:rPr/>
      </w:pPr>
      <w:r>
        <w:rPr/>
        <w:t>The supply shortages and utility cash flow issues are real issues that must be addressed.  Although the third issue of the utilities’ balance sheet indirectly impact the utilities’ cash flow issues, it is a lesser issue when recognizing the value of the utilities’ retained fossil, nuclear, and hydro plants.</w:t>
      </w:r>
    </w:p>
    <w:p>
      <w:pPr>
        <w:pStyle w:val="Normal"/>
        <w:spacing w:lineRule="auto" w:line="360"/>
        <w:ind w:start="45" w:end="0"/>
        <w:rPr/>
      </w:pPr>
      <w:r>
        <w:rPr/>
      </w:r>
    </w:p>
    <w:p>
      <w:pPr>
        <w:pStyle w:val="Normal"/>
        <w:numPr>
          <w:ilvl w:val="0"/>
          <w:numId w:val="5"/>
        </w:numPr>
        <w:spacing w:lineRule="auto" w:line="360"/>
        <w:ind w:hanging="0" w:start="405" w:end="0"/>
        <w:rPr/>
      </w:pPr>
      <w:r>
        <w:rPr/>
        <w:t>Supply Shortages</w:t>
      </w:r>
    </w:p>
    <w:p>
      <w:pPr>
        <w:pStyle w:val="Normal"/>
        <w:spacing w:lineRule="auto" w:line="360"/>
        <w:rPr/>
      </w:pPr>
      <w:r>
        <w:rPr/>
      </w:r>
    </w:p>
    <w:p>
      <w:pPr>
        <w:pStyle w:val="Normal"/>
        <w:spacing w:lineRule="auto" w:line="360"/>
        <w:rPr/>
      </w:pPr>
      <w:r>
        <w:rPr/>
        <w:t>California must address both the short-term and long-term supply issue.  In the long-term, California must address the siting of power plants and the opportunity of power plants to earn a return commensurate to the risk of the investment.  The Governor should continue to properly focus on how to address the short-term supply shortages and price spikes by examining:</w:t>
      </w:r>
    </w:p>
    <w:p>
      <w:pPr>
        <w:pStyle w:val="Normal"/>
        <w:spacing w:lineRule="auto" w:line="360"/>
        <w:ind w:start="45" w:end="0"/>
        <w:rPr/>
      </w:pPr>
      <w:r>
        <w:rPr/>
      </w:r>
    </w:p>
    <w:p>
      <w:pPr>
        <w:pStyle w:val="Normal"/>
        <w:numPr>
          <w:ilvl w:val="0"/>
          <w:numId w:val="8"/>
        </w:numPr>
        <w:spacing w:lineRule="auto" w:line="360"/>
        <w:ind w:hanging="0" w:start="720" w:end="0"/>
        <w:rPr/>
      </w:pPr>
      <w:r>
        <w:rPr/>
        <w:t>Raising Nox emission limits for power plants on an emergency basis;</w:t>
      </w:r>
    </w:p>
    <w:p>
      <w:pPr>
        <w:pStyle w:val="Normal"/>
        <w:numPr>
          <w:ilvl w:val="0"/>
          <w:numId w:val="8"/>
        </w:numPr>
        <w:spacing w:lineRule="auto" w:line="360"/>
        <w:ind w:hanging="0" w:start="720" w:end="0"/>
        <w:rPr/>
      </w:pPr>
      <w:r>
        <w:rPr/>
        <w:t>Siting of emergency generation;</w:t>
      </w:r>
    </w:p>
    <w:p>
      <w:pPr>
        <w:pStyle w:val="Normal"/>
        <w:numPr>
          <w:ilvl w:val="0"/>
          <w:numId w:val="8"/>
        </w:numPr>
        <w:spacing w:lineRule="auto" w:line="360"/>
        <w:ind w:hanging="0" w:start="720" w:end="0"/>
        <w:rPr/>
      </w:pPr>
      <w:r>
        <w:rPr/>
        <w:t>Wholesale gas price issues; and</w:t>
      </w:r>
    </w:p>
    <w:p>
      <w:pPr>
        <w:pStyle w:val="Normal"/>
        <w:numPr>
          <w:ilvl w:val="0"/>
          <w:numId w:val="8"/>
        </w:numPr>
        <w:spacing w:lineRule="auto" w:line="360"/>
        <w:ind w:hanging="0" w:start="720" w:end="0"/>
        <w:rPr/>
      </w:pPr>
      <w:r>
        <w:rPr/>
        <w:t>Wholesale electric price issues.</w:t>
      </w:r>
    </w:p>
    <w:p>
      <w:pPr>
        <w:pStyle w:val="Normal"/>
        <w:spacing w:lineRule="auto" w:line="360"/>
        <w:rPr/>
      </w:pPr>
      <w:r>
        <w:rPr/>
      </w:r>
    </w:p>
    <w:p>
      <w:pPr>
        <w:pStyle w:val="Normal"/>
        <w:numPr>
          <w:ilvl w:val="0"/>
          <w:numId w:val="5"/>
        </w:numPr>
        <w:spacing w:lineRule="auto" w:line="360"/>
        <w:ind w:hanging="0" w:start="405" w:end="0"/>
        <w:rPr/>
      </w:pPr>
      <w:r>
        <w:rPr/>
        <w:t>Utility Cash Flows</w:t>
      </w:r>
    </w:p>
    <w:p>
      <w:pPr>
        <w:pStyle w:val="Normal"/>
        <w:spacing w:lineRule="auto" w:line="360"/>
        <w:rPr/>
      </w:pPr>
      <w:r>
        <w:rPr/>
      </w:r>
    </w:p>
    <w:p>
      <w:pPr>
        <w:pStyle w:val="Normal"/>
        <w:spacing w:lineRule="auto" w:line="360"/>
        <w:rPr/>
      </w:pPr>
      <w:r>
        <w:rPr/>
        <w:t>No doubt utility cash flows are dwindling.  The utilities had collected tens of billions of dollars in cash from 1998 through 2000, but were used by the utilities’ parent companies to make investments in unregulated affiliates and buy back stock.  These cash funds may no longer be available for the utilities.  There are three sources of cash to the utilities:</w:t>
      </w:r>
    </w:p>
    <w:p>
      <w:pPr>
        <w:pStyle w:val="Normal"/>
        <w:spacing w:lineRule="auto" w:line="360"/>
        <w:ind w:start="45" w:end="0"/>
        <w:rPr/>
      </w:pPr>
      <w:r>
        <w:rPr/>
      </w:r>
    </w:p>
    <w:p>
      <w:pPr>
        <w:pStyle w:val="Normal"/>
        <w:numPr>
          <w:ilvl w:val="0"/>
          <w:numId w:val="7"/>
        </w:numPr>
        <w:tabs>
          <w:tab w:val="clear" w:pos="720"/>
        </w:tabs>
        <w:spacing w:lineRule="auto" w:line="360"/>
        <w:ind w:hanging="720" w:start="1440" w:end="0"/>
        <w:rPr/>
      </w:pPr>
      <w:r>
        <w:rPr/>
        <w:t>Although the financial community has already lent the utilities cash and is demonstrating an increasing unwillingness to further lend more cash, the financial community may continue to lend the utilities cash if there is some genuine signal from the Legislature and/or Commission that the utilities will receive relief in future rates after taking into account the utilities’ going-forward benefits from deregulation.</w:t>
      </w:r>
      <w:r>
        <w:rPr>
          <w:rStyle w:val="FootnoteCharacters"/>
          <w:rStyle w:val="FootnoteReference"/>
        </w:rPr>
        <w:footnoteReference w:id="5"/>
      </w:r>
      <w:r>
        <w:rPr/>
        <w:t xml:space="preserve">  This is also important in a going-forward solution that preserves the objective of maintaining the opportunity to recover stranded costs under AB1890.</w:t>
      </w:r>
    </w:p>
    <w:p>
      <w:pPr>
        <w:pStyle w:val="Normal"/>
        <w:numPr>
          <w:ilvl w:val="0"/>
          <w:numId w:val="7"/>
        </w:numPr>
        <w:tabs>
          <w:tab w:val="clear" w:pos="720"/>
        </w:tabs>
        <w:spacing w:lineRule="auto" w:line="360"/>
        <w:ind w:hanging="720" w:start="1440" w:end="0"/>
        <w:rPr/>
      </w:pPr>
      <w:r>
        <w:rPr/>
        <w:t>Another source of funds could be a loan from the State budget surplus through the transition period until either the market stabilizes and/or a valuation of the retained assets results in proper capitalization.  Similarly, the State can back bonds that can be paid off by future revenues from the retained assets.</w:t>
      </w:r>
    </w:p>
    <w:p>
      <w:pPr>
        <w:pStyle w:val="Normal"/>
        <w:numPr>
          <w:ilvl w:val="0"/>
          <w:numId w:val="7"/>
        </w:numPr>
        <w:tabs>
          <w:tab w:val="clear" w:pos="720"/>
        </w:tabs>
        <w:spacing w:lineRule="auto" w:line="360"/>
        <w:ind w:hanging="720" w:start="1440" w:end="0"/>
        <w:rPr/>
      </w:pPr>
      <w:r>
        <w:rPr/>
        <w:t>The least popular alternative will be the temper an immediate rate increase of no more than 10% in 2001, coupled with a combination of the solutions mentioned above.  Although a moderate and tempered rate increase can be implemented without complexity, the reason why this may be a less popular alternative is because it will demonstrate that deregulation has neither resulted in stable rates nor the expected rate decreases.  However, a modest and tempered increase may demonstrate a commitment to a solution focused on the original objectives of deregulation to the financial community that will encourage further short-term lending and signal to consumers the severity of California’s energy crisis.  Another reason why a modest and tempered increase is preferable to a significant increase is to avoid “rate revolt.”  An increase in rates will require a legislative amendment to AB1890.</w:t>
      </w:r>
    </w:p>
    <w:p>
      <w:pPr>
        <w:pStyle w:val="Normal"/>
        <w:spacing w:lineRule="auto" w:line="360"/>
        <w:ind w:start="45" w:end="0"/>
        <w:rPr/>
      </w:pPr>
      <w:r>
        <w:rPr/>
      </w:r>
    </w:p>
    <w:p>
      <w:pPr>
        <w:pStyle w:val="Normal"/>
        <w:numPr>
          <w:ilvl w:val="0"/>
          <w:numId w:val="5"/>
        </w:numPr>
        <w:spacing w:lineRule="auto" w:line="360"/>
        <w:ind w:hanging="0" w:start="405" w:end="0"/>
        <w:rPr/>
      </w:pPr>
      <w:r>
        <w:rPr/>
        <w:t>Balance Sheet</w:t>
      </w:r>
    </w:p>
    <w:p>
      <w:pPr>
        <w:pStyle w:val="Normal"/>
        <w:spacing w:lineRule="auto" w:line="360"/>
        <w:rPr/>
      </w:pPr>
      <w:r>
        <w:rPr/>
      </w:r>
    </w:p>
    <w:p>
      <w:pPr>
        <w:pStyle w:val="Normal"/>
        <w:spacing w:lineRule="auto" w:line="360"/>
        <w:rPr/>
      </w:pPr>
      <w:r>
        <w:rPr/>
        <w:t>The balance sheet issue for the utilities is grossly overstated when considering that PG&amp;E and SCE still retain over 6300 MW and 5000 MW of generation, respectively, with much higher value largely due to the fact that these generation assets are not fueled by natural gas and the current market value of energy.  Although the undercollections may continue to grow under current market conditions, these undercollections will be offset from the net revenues from these assets through 2001, as well as a final valuation of these assets at the end of 2001.  Any remaining balance at the end of 2001 will be manageable and can be recovered as a regulatory asset over some appropriate time frame and at rate level that takes into account expected future wholesale energy prices in order to avoid rate shock.</w:t>
      </w:r>
    </w:p>
    <w:p>
      <w:pPr>
        <w:pStyle w:val="Normal"/>
        <w:spacing w:lineRule="auto" w:line="360"/>
        <w:rPr/>
      </w:pPr>
      <w:r>
        <w:rPr/>
      </w:r>
    </w:p>
    <w:p>
      <w:pPr>
        <w:pStyle w:val="Normal"/>
        <w:spacing w:lineRule="auto" w:line="360"/>
        <w:rPr/>
      </w:pPr>
      <w:r>
        <w:rPr/>
        <w:t>A major problem with valuing these assets under current unstable market conditions is the risk that the assets are administratively valued too low, thereby providing utilities with additional windfall benefits.</w:t>
      </w:r>
      <w:r>
        <w:rPr>
          <w:rStyle w:val="FootnoteCharacters"/>
          <w:rStyle w:val="FootnoteReference"/>
        </w:rPr>
        <w:footnoteReference w:id="6"/>
      </w:r>
      <w:r>
        <w:rPr/>
        <w:t xml:space="preserve">  In lieu of valuing the assets, AB1890 must be amended such that the requirement to value the assets is eliminated and return the regulatory oversight over the proper disposition of stranded benefits to the jurisdiction of the CPUC.  If AB1890 is amended, the CPUC may make one or more of the following determinations:</w:t>
      </w:r>
    </w:p>
    <w:p>
      <w:pPr>
        <w:pStyle w:val="Normal"/>
        <w:spacing w:lineRule="auto" w:line="360"/>
        <w:rPr/>
      </w:pPr>
      <w:r>
        <w:rPr/>
      </w:r>
    </w:p>
    <w:p>
      <w:pPr>
        <w:pStyle w:val="Normal"/>
        <w:numPr>
          <w:ilvl w:val="0"/>
          <w:numId w:val="4"/>
        </w:numPr>
        <w:tabs>
          <w:tab w:val="clear" w:pos="720"/>
        </w:tabs>
        <w:spacing w:lineRule="auto" w:line="360"/>
        <w:ind w:hanging="720" w:start="1440" w:end="0"/>
        <w:rPr/>
      </w:pPr>
      <w:r>
        <w:rPr/>
        <w:t>The assets will continued to be valued by December 31, 2001, and the value will offset CPUC-determined undercollections;</w:t>
      </w:r>
    </w:p>
    <w:p>
      <w:pPr>
        <w:pStyle w:val="Normal"/>
        <w:numPr>
          <w:ilvl w:val="0"/>
          <w:numId w:val="4"/>
        </w:numPr>
        <w:tabs>
          <w:tab w:val="clear" w:pos="720"/>
        </w:tabs>
        <w:spacing w:lineRule="auto" w:line="360"/>
        <w:ind w:hanging="720" w:start="1440" w:end="0"/>
        <w:rPr/>
      </w:pPr>
      <w:r>
        <w:rPr/>
        <w:t>The assets will continue to be owned and operated under CPUC-jurisdiction with accrued stranded benefits used to fully or partially offset amortization of CPUC-determined undercollections over time;</w:t>
      </w:r>
    </w:p>
    <w:p>
      <w:pPr>
        <w:pStyle w:val="Normal"/>
        <w:numPr>
          <w:ilvl w:val="0"/>
          <w:numId w:val="4"/>
        </w:numPr>
        <w:tabs>
          <w:tab w:val="clear" w:pos="720"/>
        </w:tabs>
        <w:spacing w:lineRule="auto" w:line="360"/>
        <w:ind w:hanging="720" w:start="1440" w:end="0"/>
        <w:rPr/>
      </w:pPr>
      <w:r>
        <w:rPr/>
        <w:t>The assets will be valued at a future time beyond December 31, 2001, with accrued stranded benefits used to offset CPUC-determined undercollections until the time of valuation.  At the time of valuation, the value will offset remaining undercollections; or</w:t>
      </w:r>
    </w:p>
    <w:p>
      <w:pPr>
        <w:pStyle w:val="Normal"/>
        <w:numPr>
          <w:ilvl w:val="0"/>
          <w:numId w:val="4"/>
        </w:numPr>
        <w:tabs>
          <w:tab w:val="clear" w:pos="720"/>
        </w:tabs>
        <w:spacing w:lineRule="auto" w:line="360"/>
        <w:ind w:hanging="720" w:start="1440" w:end="0"/>
        <w:rPr/>
      </w:pPr>
      <w:r>
        <w:rPr/>
        <w:t xml:space="preserve">The nuclear and non-nuclear assets will be administratively valued at the end of a rate freeze with an obligation to sell back power for default service to small customers at a contracted rate.  The stranded benefits determined from the administrative value will be used to offset CPUC-determined undercollections.  Any remaining undercollections will be amortized an recovered over the next 10 to 20 years.   </w:t>
      </w:r>
    </w:p>
    <w:p>
      <w:pPr>
        <w:pStyle w:val="Normal"/>
        <w:spacing w:lineRule="auto" w:line="360"/>
        <w:rPr/>
      </w:pPr>
      <w:r>
        <w:rPr/>
      </w:r>
    </w:p>
    <w:p>
      <w:pPr>
        <w:pStyle w:val="Heading1"/>
        <w:numPr>
          <w:ilvl w:val="0"/>
          <w:numId w:val="2"/>
        </w:numPr>
        <w:tabs>
          <w:tab w:val="clear" w:pos="720"/>
        </w:tabs>
        <w:ind w:hanging="720" w:start="1440" w:end="0"/>
        <w:rPr/>
      </w:pPr>
      <w:r>
        <w:rPr/>
        <w:t>LEGISLATIVE AMENDMENT TO EXTEND A RATE FREEZE</w:t>
      </w:r>
    </w:p>
    <w:p>
      <w:pPr>
        <w:pStyle w:val="Normal"/>
        <w:rPr/>
      </w:pPr>
      <w:r>
        <w:rPr/>
      </w:r>
    </w:p>
    <w:p>
      <w:pPr>
        <w:pStyle w:val="Normal"/>
        <w:spacing w:lineRule="auto" w:line="360"/>
        <w:rPr/>
      </w:pPr>
      <w:r>
        <w:rPr/>
        <w:t>Currently, the rate freeze is expected to end when the utilities’ non-nuclear assets are valued or on December 31, 2001.</w:t>
      </w:r>
      <w:r>
        <w:rPr>
          <w:rStyle w:val="FootnoteCharacters"/>
          <w:rStyle w:val="FootnoteReference"/>
        </w:rPr>
        <w:footnoteReference w:id="7"/>
      </w:r>
      <w:r>
        <w:rPr/>
        <w:t xml:space="preserve">  Whether the rate freeze ends on or prior to December 31, 2001, customers will be exposed to the current volatile market conditions.  Given the supply shortages, price hikes, and price volatility, exposing consumers to the current market conditions would not result in the intended objective of AB1890 to stabilize and lower rates.  However, the legislature may amend AB1890 to extend a rate freeze to a point in time when new generation is expected to be online and the market is expected to stabilize.  Any such proposal to extend a rate freeze will need to consider supply and cash flow issues.</w:t>
      </w:r>
    </w:p>
    <w:p>
      <w:pPr>
        <w:pStyle w:val="Normal"/>
        <w:spacing w:lineRule="auto" w:line="360"/>
        <w:rPr/>
      </w:pPr>
      <w:r>
        <w:rPr/>
      </w:r>
    </w:p>
    <w:p>
      <w:pPr>
        <w:pStyle w:val="Normal"/>
        <w:spacing w:lineRule="auto" w:line="360"/>
        <w:rPr/>
      </w:pPr>
      <w:r>
        <w:rPr/>
        <w:t xml:space="preserve">In terms of competition, an extension of the rate freeze will also need to consider two issues: (a) for how long and (b) how will the PX credit be calculated.  In order to preserve the momentum of competition and future business origination opportunities, the rate freeze should end no later than December 31, 2004.  Preferably, an extended rate freeze would end by December 31, 2002 or 2003.  If the rate freeze ends later than 2004, then competition will be defined as longer-term contracts ranging from 6 to 10 years.  If the rate freeze ends earlier, then contracts can be defined as short as 4 to 5 years. </w:t>
      </w:r>
    </w:p>
    <w:p>
      <w:pPr>
        <w:pStyle w:val="Normal"/>
        <w:spacing w:lineRule="auto" w:line="360"/>
        <w:rPr/>
      </w:pPr>
      <w:r>
        <w:rPr/>
      </w:r>
    </w:p>
    <w:p>
      <w:pPr>
        <w:pStyle w:val="Normal"/>
        <w:spacing w:lineRule="auto" w:line="360"/>
        <w:rPr/>
      </w:pPr>
      <w:r>
        <w:rPr/>
        <w:t>One risk that exists under the rate freeze is a negative arbitrage difference between the short-term PX markets and the long-term bilateral procurement of utilities.  More than likely, the PX credit will be based on the utilities’ procurement portfolio with will be expanded to include long-term bilateral contracts.  If power prices are backwardated, this will result in below market PX credits during the earlier years creating risks for physical delivery in the earlier years, with higher utility procurement prices in later years.  The risk of physical delivery for new contracts can be mitigated by developing contracts with financial settlements during the rate freeze period.  For existing contracts, we may need to pay customers to amend the contracts to allow for switching back to utility service and settle financially.  Utilities will also understand their risks of higher than market prices in the later years from this regulatory accounting.  However, this risk should be minimal to the extent (a) the utilities do not procure all of their power in forward contracts; (b) prices do not decrease as rapidly as contracted; and/or (c) attrition loss or migration of customers is moderate.  In fact, utility procurement of power in forward contracts should consider load growth and customer migration.</w:t>
      </w:r>
    </w:p>
    <w:p>
      <w:pPr>
        <w:pStyle w:val="Normal"/>
        <w:spacing w:lineRule="auto" w:line="360"/>
        <w:rPr/>
      </w:pPr>
      <w:r>
        <w:rPr/>
      </w:r>
    </w:p>
    <w:p>
      <w:pPr>
        <w:pStyle w:val="Normal"/>
        <w:spacing w:lineRule="auto" w:line="360"/>
        <w:rPr/>
      </w:pPr>
      <w:r>
        <w:rPr/>
        <w:t>If the legislature amends AB1890 to increase rates by 10% and extend the rate freeze, the result will have differing impacts on consumers.  Since consumers with demands below 20kW are expected to begin paying back the Rate Reduction Bonds at the end of the rate freeze, but no later than March 31, 2002, a 10% increase in rates with an extension of the rate freeze will presumably only impact small customers from the point of the increase to March 31, 2002.</w:t>
      </w:r>
      <w:r>
        <w:rPr>
          <w:rStyle w:val="FootnoteCharacters"/>
          <w:rStyle w:val="FootnoteReference"/>
        </w:rPr>
        <w:footnoteReference w:id="8"/>
      </w:r>
      <w:r>
        <w:rPr/>
        <w:t xml:space="preserve">  Customers with demands above 20 kW will bear the consequences of the increase for the entire term of the rate freeze.  A 10% increase in rates would result in an additional $820 million in revenues for PG&amp;E and SCE in 2001, respectively.  Since small customers will need to begin paying back the Rate Reduction Bonds beginning January 1, 2002, the rate increase should have no expected impact on small customers after 2001 through the earlier of the end of the rate freeze or December 31, 2007, at the point in time when the Rate Reduction Bonds should be paid off.  A rate increase of 10% and rate freeze extension beyond December 31, 2001, will primarily impact medium and large customers, providing the utilities an additional $500 million per year in revenues from those customers.  This fact should ease TURN’s concerns that a rate increase in combination with an extension of the rate freeze would disproportionately impact small customers.</w:t>
      </w:r>
    </w:p>
    <w:p>
      <w:pPr>
        <w:pStyle w:val="Normal"/>
        <w:spacing w:lineRule="auto" w:line="360"/>
        <w:rPr/>
      </w:pPr>
      <w:r>
        <w:rPr/>
      </w:r>
    </w:p>
    <w:p>
      <w:pPr>
        <w:pStyle w:val="Normal"/>
        <w:spacing w:lineRule="auto" w:line="360"/>
        <w:ind w:hanging="720" w:start="1440" w:end="0"/>
        <w:rPr>
          <w:u w:val="single"/>
        </w:rPr>
      </w:pPr>
      <w:r>
        <w:rPr>
          <w:u w:val="single"/>
        </w:rPr>
        <w:t>V.</w:t>
        <w:tab/>
        <w:t>BENEFITS OF AN ORDERLY TRANSITION</w:t>
      </w:r>
    </w:p>
    <w:p>
      <w:pPr>
        <w:pStyle w:val="Normal"/>
        <w:spacing w:lineRule="auto" w:line="360"/>
        <w:rPr/>
      </w:pPr>
      <w:r>
        <w:rPr/>
      </w:r>
    </w:p>
    <w:p>
      <w:pPr>
        <w:pStyle w:val="Normal"/>
        <w:spacing w:lineRule="auto" w:line="360"/>
        <w:rPr/>
      </w:pPr>
      <w:r>
        <w:rPr/>
        <w:t xml:space="preserve">The benefit of ensuring the rate freeze ends on a date certain, whether it is December 31, 2001 or later, will provide the CPUC time to address the many thorny issues that still remain and the time to transition to an orderly, stable competitive market.  In addition to preventing rate shock and allowing time for new generation to develop, this time can be used to allow large customers to shop and provide a structuring and bidding out of the default provider role for small and medium customers with contracting for retained native generation.  Finally, the CPUC can allow for a viable DSM market to develop, modify the interruptible program, and study real-time pricing alternatives. </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Due to the sensitive and confidential nature of the position impact, this impact has been omitted.  Parties are aware of the risks and the various impacts of different legislative and regulatory strategies and outcomes.</w:t>
      </w:r>
    </w:p>
  </w:footnote>
  <w:footnote w:id="3">
    <w:p>
      <w:pPr>
        <w:pStyle w:val="FootnoteText"/>
        <w:rPr/>
      </w:pPr>
      <w:r>
        <w:rPr>
          <w:rStyle w:val="FootnoteCharacters"/>
        </w:rPr>
        <w:footnoteRef/>
      </w:r>
      <w:r>
        <w:rPr/>
        <w:t xml:space="preserve"> </w:t>
      </w:r>
      <w:r>
        <w:rPr/>
        <w:t>For instance, PG&amp;E and SCE have submitted “rate stabilization” plans that would: (a) provide these utilities 100% recovery of over-stated stranded costs, (b) shift the risks and higher costs of current market conditions to consumers, (c) entrench these utilities as the retail supplier of electricity and effectively abandon a competitive market place, and (d) provide these utilities with a percentage of windfall profits from retained nuclear and non-nuclear generation assets.</w:t>
      </w:r>
    </w:p>
  </w:footnote>
  <w:footnote w:id="4">
    <w:p>
      <w:pPr>
        <w:pStyle w:val="FootnoteText"/>
        <w:rPr/>
      </w:pPr>
      <w:r>
        <w:rPr>
          <w:rStyle w:val="FootnoteCharacters"/>
        </w:rPr>
        <w:footnoteRef/>
      </w:r>
      <w:r>
        <w:rPr/>
        <w:t xml:space="preserve"> </w:t>
      </w:r>
      <w:r>
        <w:rPr/>
        <w:t>PG&amp;E owns 2300 MW of nuclear power plants, almost 4000 MW of hydro power plants, and a couple of fossil power plants, for a total in excess of 6300 MW not contingent on the price of natural gas.  SCE owns almost 2200 MW of nuclear power plants, 1150 MW of hydro power plants, and almost 1600 MW of coal power plants, for a total of approximately 5000 MW not contingent on the price of natural gas.</w:t>
      </w:r>
    </w:p>
  </w:footnote>
  <w:footnote w:id="5">
    <w:p>
      <w:pPr>
        <w:pStyle w:val="FootnoteText"/>
        <w:rPr/>
      </w:pPr>
      <w:r>
        <w:rPr>
          <w:rStyle w:val="FootnoteCharacters"/>
        </w:rPr>
        <w:footnoteRef/>
      </w:r>
      <w:r>
        <w:rPr/>
        <w:t xml:space="preserve"> </w:t>
      </w:r>
      <w:r>
        <w:rPr/>
        <w:t>Under the utilities’ respective nuclear settlements, the utilities receive incentive payments above their respective variable cost in addition to stranded cost recovery of sunk costs for a certain term.  Once that term expires, utilities receive 50% of the going forward net benefits from the nuclear assets.  Although the proposed hydro settlement agreements have not been approved by the CPUC, if approved, the utilities would earn a regulated rate of return on the deemed value of their respective hydro assets and 10% of the going forward net benefits from these assets.</w:t>
      </w:r>
    </w:p>
  </w:footnote>
  <w:footnote w:id="6">
    <w:p>
      <w:pPr>
        <w:pStyle w:val="FootnoteText"/>
        <w:rPr/>
      </w:pPr>
      <w:r>
        <w:rPr>
          <w:rStyle w:val="FootnoteCharacters"/>
        </w:rPr>
        <w:footnoteRef/>
      </w:r>
      <w:r>
        <w:rPr/>
        <w:t xml:space="preserve"> </w:t>
      </w:r>
      <w:r>
        <w:rPr/>
        <w:t xml:space="preserve">It is becoming increasingly clear that the CPUC will not approve any proposal to divest these assets, especially under current market conditions.  Even though divestiture would best determine the fair market value, history has demonstrated that assets previously divested have now proven to be under valued and divesting the remaining assets would aggravate current concerns about market shortages and would result in less future regulatory oversight to manage future potential market concerns.   </w:t>
      </w:r>
    </w:p>
  </w:footnote>
  <w:footnote w:id="7">
    <w:p>
      <w:pPr>
        <w:pStyle w:val="FootnoteText"/>
        <w:rPr/>
      </w:pPr>
      <w:r>
        <w:rPr>
          <w:rStyle w:val="FootnoteCharacters"/>
        </w:rPr>
        <w:footnoteRef/>
      </w:r>
      <w:r>
        <w:rPr/>
        <w:t xml:space="preserve"> </w:t>
      </w:r>
      <w:r>
        <w:rPr/>
        <w:t xml:space="preserve">The CPUC is expected to issue a decision in late December on whether the rate freeze will end based on the earlier of or later of when non-nuclear assets are valued or December 31, 2001.  This decision will address the TURN petition to modify certain CPUC Resolutions on the ratemaking accounting of costs and revenues.  Although the CPUC has not formally acted on the utilities’ respective emergency petitions to modify certain CPUC Decisions and end the rate freeze on January 1, 2001, the CPUC Energy Division has denied the utilities’ Advice Letters to end the rate freeze on January 1, 2001.  Further, the California Supreme Court has also denied the utilities’ suit to end the rate freeze with guaranteed recovery of undercollections.  Public statements by CPUC President Lynch has revealed that the rate freeze will end no earlier than the point in time when the non-nuclear assets are valued.  PG&amp;E updated testimony has been filed at the CPUC for their hydro valuation, but no procedural schedule has been determined.  SCE’s hydro valuation proceeding has stalled, as well as there filing to divest their shares in Mohave and Four Corners, two coal-fired generation plants.  Finally, the CPUC is expected to issue an Order Instituting Investigation into the recovery of utility undercollections incurred prior to the end of the rate freeze.  </w:t>
      </w:r>
    </w:p>
  </w:footnote>
  <w:footnote w:id="8">
    <w:p>
      <w:pPr>
        <w:pStyle w:val="FootnoteText"/>
        <w:rPr/>
      </w:pPr>
      <w:r>
        <w:rPr>
          <w:rStyle w:val="FootnoteCharacters"/>
        </w:rPr>
        <w:footnoteRef/>
      </w:r>
      <w:r>
        <w:rPr/>
        <w:t xml:space="preserve"> </w:t>
      </w:r>
      <w:r>
        <w:rPr/>
        <w:t>Under current market conditions, small consumers would see an increase if the rate freeze were to end on December 31, 2001, due to high market prices and the obligation to pay the Fixed Transition Amount rate to pay back the Rate Reduction Bonds used to reduce these customers rates during the rate freeze.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pStyle w:val="Heading1"/>
      <w:numFmt w:val="upperRoman"/>
      <w:lvlText w:val="%1."/>
      <w:lvlJc w:val="start"/>
      <w:pPr>
        <w:tabs>
          <w:tab w:val="num" w:pos="765"/>
        </w:tabs>
        <w:ind w:start="765"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4"/>
      <w:numFmt w:val="upperRoman"/>
      <w:lvlText w:val="%1."/>
      <w:lvlJc w:val="start"/>
      <w:pPr>
        <w:tabs>
          <w:tab w:val="num" w:pos="720"/>
        </w:tabs>
        <w:ind w:start="720" w:hanging="720"/>
      </w:pPr>
      <w:rPr/>
    </w:lvl>
  </w:abstractNum>
  <w:abstractNum w:abstractNumId="3">
    <w:lvl w:ilvl="0">
      <w:start w:val="1"/>
      <w:numFmt w:val="bullet"/>
      <w:lvlText w:val=""/>
      <w:lvlJc w:val="start"/>
      <w:pPr>
        <w:tabs>
          <w:tab w:val="num" w:pos="720"/>
        </w:tabs>
        <w:ind w:start="360" w:hanging="360"/>
      </w:pPr>
      <w:rPr>
        <w:rFonts w:ascii="Wingdings" w:hAnsi="Wingdings" w:cs="Wingdings" w:hint="default"/>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upperLetter"/>
      <w:lvlText w:val="%1."/>
      <w:lvlJc w:val="start"/>
      <w:pPr>
        <w:tabs>
          <w:tab w:val="num" w:pos="720"/>
        </w:tabs>
        <w:ind w:start="405" w:hanging="360"/>
      </w:pPr>
      <w:rPr/>
    </w:lvl>
  </w:abstractNum>
  <w:abstractNum w:abstractNumId="6">
    <w:lvl w:ilvl="0">
      <w:start w:val="1"/>
      <w:numFmt w:val="decimal"/>
      <w:lvlText w:val="%1."/>
      <w:lvlJc w:val="start"/>
      <w:pPr>
        <w:tabs>
          <w:tab w:val="num" w:pos="720"/>
        </w:tabs>
        <w:ind w:start="360" w:hanging="360"/>
      </w:pPr>
    </w:lvl>
  </w:abstractNum>
  <w:abstractNum w:abstractNumId="7">
    <w:lvl w:ilvl="0">
      <w:start w:val="1"/>
      <w:numFmt w:val="decimal"/>
      <w:lvlText w:val="%1."/>
      <w:lvlJc w:val="start"/>
      <w:pPr>
        <w:tabs>
          <w:tab w:val="num" w:pos="720"/>
        </w:tabs>
        <w:ind w:start="720" w:hanging="675"/>
      </w:pPr>
      <w:rPr/>
    </w:lvl>
  </w:abstractNum>
  <w:abstractNum w:abstractNumId="8">
    <w:lvl w:ilvl="0">
      <w:start w:val="1"/>
      <w:numFmt w:val="decimal"/>
      <w:lvlText w:val="%1."/>
      <w:lvlJc w:val="start"/>
      <w:pPr>
        <w:tabs>
          <w:tab w:val="num" w:pos="720"/>
        </w:tabs>
        <w:ind w:start="720" w:hanging="675"/>
      </w:pPr>
      <w:rPr/>
    </w:lvl>
  </w:abstractNum>
  <w:abstractNum w:abstractNumId="9">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ind w:hanging="0" w:start="0" w:end="0"/>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hanging="0" w:start="45"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2000-12-10T14:24:00Z</dcterms:created>
  <dc:creator>ryang</dc:creator>
  <dc:description/>
  <dc:language>en-CA</dc:language>
  <cp:lastModifiedBy>ryang</cp:lastModifiedBy>
  <dcterms:modified xsi:type="dcterms:W3CDTF">2000-12-11T11:38:00Z</dcterms:modified>
  <cp:revision>13</cp:revision>
  <dc:subject/>
  <dc:title>LEGISLATIVE AND REGULATORY STRATEGY</dc:title>
</cp:coreProperties>
</file>