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ocumentLabel"/>
        <w:keepNext w:val="true"/>
        <w:keepLines/>
        <w:spacing w:lineRule="atLeast" w:line="240" w:before="400" w:after="120"/>
        <w:ind w:hanging="0" w:start="-840" w:end="0"/>
        <w:rPr/>
      </w:pPr>
      <w:bookmarkStart w:id="0" w:name="Title"/>
      <w:bookmarkEnd w:id="0"/>
      <w:r>
        <w:rPr/>
        <w:t>Memo</w:t>
      </w:r>
    </w:p>
    <w:p>
      <w:pPr>
        <w:pStyle w:val="MessageHeaderFirst"/>
        <w:rPr>
          <w:b/>
        </w:rPr>
      </w:pPr>
      <w:bookmarkStart w:id="1" w:name="Title"/>
      <w:bookmarkEnd w:id="1"/>
      <w:r>
        <w:rPr>
          <w:rStyle w:val="MessageHeaderLabel"/>
        </w:rPr>
        <w:t>Date:</w:t>
        <w:tab/>
      </w:r>
      <w:r>
        <w:rPr/>
        <w:t>1/12/00</w:t>
        <w:tab/>
        <w:tab/>
        <w:tab/>
        <w:tab/>
        <w:tab/>
      </w:r>
    </w:p>
    <w:p>
      <w:pPr>
        <w:pStyle w:val="MessageHeader"/>
        <w:rPr/>
      </w:pPr>
      <w:r>
        <w:rPr>
          <w:rStyle w:val="MessageHeaderLabel"/>
        </w:rPr>
        <w:t>To:</w:t>
        <w:tab/>
      </w:r>
      <w:r>
        <w:rPr/>
        <w:t>Mark E. Haedicke</w:t>
      </w:r>
    </w:p>
    <w:p>
      <w:pPr>
        <w:pStyle w:val="MessageHeader"/>
        <w:rPr/>
      </w:pPr>
      <w:r>
        <w:rPr>
          <w:rStyle w:val="MessageHeaderLabel"/>
        </w:rPr>
        <w:t>Cc:</w:t>
        <w:tab/>
      </w:r>
      <w:r>
        <w:rPr/>
        <w:t>John Novak</w:t>
        <w:br/>
        <w:t>Elizabeth Sager</w:t>
      </w:r>
    </w:p>
    <w:p>
      <w:pPr>
        <w:pStyle w:val="MessageHeader"/>
        <w:rPr/>
      </w:pPr>
      <w:r>
        <w:rPr>
          <w:rStyle w:val="MessageHeaderLabel"/>
        </w:rPr>
        <w:t>From:</w:t>
        <w:tab/>
      </w:r>
      <w:r>
        <w:rPr/>
        <w:t>Lisa Alfaro</w:t>
      </w:r>
    </w:p>
    <w:p>
      <w:pPr>
        <w:pStyle w:val="MessageHeaderLast"/>
        <w:rPr/>
      </w:pPr>
      <w:r>
        <w:rPr>
          <w:rStyle w:val="MessageHeaderLabel"/>
        </w:rPr>
        <w:t>RE:</w:t>
        <w:tab/>
      </w:r>
      <w:r>
        <w:rPr/>
        <w:t>Electrobolt Project – Legal Risk Memo</w:t>
      </w:r>
    </w:p>
    <w:p>
      <w:pPr>
        <w:pStyle w:val="BodyText"/>
        <w:rPr/>
      </w:pPr>
      <w:r>
        <w:rPr/>
        <w:t xml:space="preserve">Enron Comercializadora de Energia Ltda. (“ECE”) plans to enter into a consortium agreement with </w:t>
      </w:r>
      <w:r>
        <w:rPr>
          <w:lang w:val="pt-BR"/>
        </w:rPr>
        <w:t xml:space="preserve">Petróleo Brasileiro S.A.– </w:t>
      </w:r>
      <w:r>
        <w:rPr/>
        <w:t xml:space="preserve">Petrobras (“Petrobras”) and </w:t>
      </w:r>
      <w:r>
        <w:rPr>
          <w:color w:val="000000"/>
          <w:lang w:val="pt-BR"/>
        </w:rPr>
        <w:t xml:space="preserve">SFE – Sociedade Fluminense de Energia Ltda (“SFE”) to be governed under Brazilian law (the “Consortium Agreement”).  The parties are forming the consortium to develop and construct </w:t>
      </w:r>
      <w:r>
        <w:rPr>
          <w:color w:val="000000"/>
        </w:rPr>
        <w:t xml:space="preserve">a simple-cycle power generation facility of approximately three hundred eighty-eight (388) megawatts in the state of Rio de Janeiro, Brazil (the "Plant"), market the energy generated by the Plant and share the revenues among the consortium members (the “Electrobolt Project”).  </w:t>
      </w:r>
      <w:r>
        <w:rPr/>
        <w:t xml:space="preserve">Under the Consortium Agreement SFE will be responsible for the construction, operation and maintenance of the Plant; </w:t>
      </w:r>
      <w:r>
        <w:rPr>
          <w:color w:val="000000"/>
        </w:rPr>
        <w:t>ECE will be responsible for all marketing decisions relating to the energy generated by the Plant and will function as payment agent and consortium representative before the Brazilian electricity wholesale market; and Petrobras will be responsible for certain contingent obligations to contribute additional capital to the consortium and will ensure the availability of natural gas for the Plant.  The Consortium Agreement also sets forth the distribution of revenues generated by the sale of the energy generated by the Plant.  The additional capital to be paid by Petrobras and the revenue distribution to SFE are indexed to US dollars.</w:t>
      </w:r>
    </w:p>
    <w:p>
      <w:pPr>
        <w:pStyle w:val="BodyText"/>
        <w:rPr/>
      </w:pPr>
      <w:r>
        <w:rPr>
          <w:u w:val="single"/>
        </w:rPr>
        <w:t>Enforceability of Dollar Indexation for Petrobras Payments</w:t>
      </w:r>
      <w:r>
        <w:rPr/>
        <w:t xml:space="preserve"> -- Brazilian law prohibits indexation to US dollars of payments to be made in Brazil.  </w:t>
      </w:r>
      <w:r>
        <w:rPr>
          <w:color w:val="000000"/>
          <w:lang w:val="pt-BR"/>
        </w:rPr>
        <w:t xml:space="preserve">Brazilian counsel for the Electrobolt Project, Tozzini, Freire, Teixeira e Silva (“Tozzini”) has advised (and will be providing an opinion) that because the additional capital provided by Petrobras is a contribution to the consortium the dollar indexation of such contribution is not prohibited by Brazilian law.  In this case the dollar indexation is a criteria determined by the parties applicable to the contribution.  Similary, the allocation to SFE is a distribution of profits rather than a payment obligation and therefore dollar indexation is not prohibited by Brazilian law. </w:t>
      </w:r>
    </w:p>
    <w:p>
      <w:pPr>
        <w:pStyle w:val="BodyText"/>
        <w:rPr/>
      </w:pPr>
      <w:r>
        <w:rPr>
          <w:u w:val="single"/>
        </w:rPr>
        <w:t>Enforceability of Arbitration Provision and Award</w:t>
      </w:r>
      <w:r>
        <w:rPr/>
        <w:t xml:space="preserve"> -- The Consortium Agreement provides for dispute resolution by arbitration under UNCITRAL rules in New York.  Brazilian law allows for the enforcement of a foreign arbitration award upon the issuance by the Supreme Court of an order confirming that the award meets certain specified criteria, including among others, that the award does not violate public policy and that certain procedural requirements were followed.  The Supreme Court process may result in a delay of more than a year to enforce an arbitration award.  Additionally, the Brazilian arbitration law is currently being challenged as a violation of the constitutional right of a party to seek redress in the Brazilian courts.  The case has been pending for a couple of years and the outcome may impact the enforceability of the arbitration provision and/or an arbitration award.  In the meantime, foreign arbitration awards have been enforced in Brazil.</w:t>
      </w:r>
    </w:p>
    <w:p>
      <w:pPr>
        <w:pStyle w:val="BodyText"/>
        <w:rPr/>
      </w:pPr>
      <w:r>
        <w:rPr>
          <w:u w:val="single"/>
        </w:rPr>
        <w:t>Environmental Liability relating to the Electrobolt Project Property</w:t>
      </w:r>
      <w:r>
        <w:rPr/>
        <w:t xml:space="preserve"> -- In Brazil environmental liability is a strict liability matter.  Therefore once SFE purchases the land on which the Plant will be built, SFE may be held responsible for environmental liabilities associated with the property.  An environmental contamination report is expected to be delivered by December 8, prior to the purchase of the land.  </w:t>
      </w:r>
    </w:p>
    <w:p>
      <w:pPr>
        <w:pStyle w:val="MessageHeader"/>
        <w:keepLines/>
        <w:spacing w:before="0" w:after="120"/>
        <w:ind w:hanging="720" w:start="720" w:end="0"/>
        <w:jc w:val="start"/>
        <w:rPr/>
      </w:pPr>
      <w:r>
        <w:rPr/>
        <w:t>LAA/laa</w:t>
      </w:r>
    </w:p>
    <w:sectPr>
      <w:headerReference w:type="default" r:id="rId2"/>
      <w:headerReference w:type="first" r:id="rId3"/>
      <w:footerReference w:type="default" r:id="rId4"/>
      <w:footerReference w:type="first" r:id="rId5"/>
      <w:type w:val="nextPage"/>
      <w:pgSz w:w="12240" w:h="15840"/>
      <w:pgMar w:left="1296" w:right="1296" w:gutter="0" w:header="720" w:top="1440" w:footer="72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Black">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00" w:after="0"/>
      <w:rPr/>
    </w:pPr>
    <w:r>
      <w:rPr/>
      <w:t>11/30/00</w:t>
      <w:tab/>
      <w:t>Confidential</w:t>
      <w:tab/>
    </w:r>
    <w:r>
      <w:rPr/>
      <w:fldChar w:fldCharType="begin"/>
    </w:r>
    <w:r>
      <w:rPr/>
      <w:instrText xml:space="preserve"> PAGE </w:instrText>
    </w:r>
    <w:r>
      <w:rPr/>
      <w:fldChar w:fldCharType="separate"/>
    </w:r>
    <w:r>
      <w:rPr/>
      <w:t>2</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00" w:after="0"/>
      <w:rPr/>
    </w:pPr>
    <w:r>
      <w:rPr/>
      <w:t>11/30/00</w:t>
      <w:tab/>
      <w:t>Confidential</w:t>
      <w:tab/>
    </w:r>
    <w:r>
      <w:rPr/>
      <w:fldChar w:fldCharType="begin"/>
    </w:r>
    <w:r>
      <w:rPr/>
      <w:instrText xml:space="preserve"> PAGE </w:instrText>
    </w:r>
    <w:r>
      <w:rPr/>
      <w:fldChar w:fldCharType="separate"/>
    </w:r>
    <w:r>
      <w:rPr/>
      <w:t>1</w:t>
    </w:r>
    <w:r>
      <w:rPr/>
      <w:fldChar w:fldCharType="end"/>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600"/>
      <w:rPr/>
    </w:pPr>
    <w:r>
      <w:rPr/>
      <w:t>Memo: Merchant Plant/Electrobolt Project - Legal Risk Memo</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suppressLineNumbers/>
      <w:spacing w:before="0" w:after="60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docVars>
    <w:docVar w:name="iMemoStyle" w:val="0"/>
    <w:docVar w:name="Memo Post Wizard Balloon" w:val="0"/>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pacing w:val="-5"/>
      <w:sz w:val="20"/>
      <w:szCs w:val="20"/>
      <w:lang w:val="en-US" w:eastAsia="zh-CN" w:bidi="hi-IN"/>
    </w:rPr>
  </w:style>
  <w:style w:type="paragraph" w:styleId="Heading1">
    <w:name w:val="heading 1"/>
    <w:basedOn w:val="Normal"/>
    <w:next w:val="BodyText"/>
    <w:qFormat/>
    <w:pPr>
      <w:keepNext w:val="true"/>
      <w:keepLines/>
      <w:numPr>
        <w:ilvl w:val="0"/>
        <w:numId w:val="1"/>
      </w:numPr>
      <w:spacing w:lineRule="atLeast" w:line="200" w:before="0" w:after="220"/>
      <w:outlineLvl w:val="0"/>
    </w:pPr>
    <w:rPr>
      <w:rFonts w:ascii="Arial Black" w:hAnsi="Arial Black" w:cs="Arial Black"/>
      <w:spacing w:val="-10"/>
      <w:kern w:val="2"/>
      <w:sz w:val="22"/>
    </w:rPr>
  </w:style>
  <w:style w:type="paragraph" w:styleId="Heading2">
    <w:name w:val="heading 2"/>
    <w:basedOn w:val="Normal"/>
    <w:next w:val="BodyText"/>
    <w:qFormat/>
    <w:pPr>
      <w:keepNext w:val="true"/>
      <w:keepLines/>
      <w:numPr>
        <w:ilvl w:val="1"/>
        <w:numId w:val="1"/>
      </w:numPr>
      <w:spacing w:lineRule="atLeast" w:line="200"/>
      <w:outlineLvl w:val="1"/>
    </w:pPr>
    <w:rPr>
      <w:rFonts w:ascii="Arial Black" w:hAnsi="Arial Black" w:cs="Arial Black"/>
      <w:spacing w:val="-10"/>
      <w:kern w:val="2"/>
    </w:rPr>
  </w:style>
  <w:style w:type="paragraph" w:styleId="Heading3">
    <w:name w:val="heading 3"/>
    <w:basedOn w:val="Normal"/>
    <w:next w:val="BodyText"/>
    <w:qFormat/>
    <w:pPr>
      <w:keepNext w:val="true"/>
      <w:keepLines/>
      <w:numPr>
        <w:ilvl w:val="2"/>
        <w:numId w:val="1"/>
      </w:numPr>
      <w:spacing w:lineRule="atLeast" w:line="180"/>
      <w:ind w:hanging="0" w:start="360" w:end="0"/>
      <w:outlineLvl w:val="2"/>
    </w:pPr>
    <w:rPr>
      <w:rFonts w:ascii="Arial Black" w:hAnsi="Arial Black" w:cs="Arial Black"/>
      <w:kern w:val="2"/>
    </w:rPr>
  </w:style>
  <w:style w:type="paragraph" w:styleId="Heading4">
    <w:name w:val="heading 4"/>
    <w:basedOn w:val="Normal"/>
    <w:next w:val="BodyText"/>
    <w:qFormat/>
    <w:pPr>
      <w:keepNext w:val="true"/>
      <w:keepLines/>
      <w:numPr>
        <w:ilvl w:val="3"/>
        <w:numId w:val="1"/>
      </w:numPr>
      <w:spacing w:lineRule="atLeast" w:line="180"/>
      <w:ind w:hanging="0" w:start="720" w:end="0"/>
      <w:outlineLvl w:val="3"/>
    </w:pPr>
    <w:rPr>
      <w:rFonts w:ascii="Arial Black" w:hAnsi="Arial Black" w:cs="Arial Black"/>
      <w:spacing w:val="-2"/>
      <w:kern w:val="2"/>
      <w:sz w:val="18"/>
    </w:rPr>
  </w:style>
  <w:style w:type="paragraph" w:styleId="Heading5">
    <w:name w:val="heading 5"/>
    <w:basedOn w:val="Normal"/>
    <w:next w:val="BodyText"/>
    <w:qFormat/>
    <w:pPr>
      <w:keepNext w:val="true"/>
      <w:keepLines/>
      <w:numPr>
        <w:ilvl w:val="4"/>
        <w:numId w:val="1"/>
      </w:numPr>
      <w:spacing w:lineRule="atLeast" w:line="180"/>
      <w:ind w:hanging="0" w:start="1080" w:end="0"/>
      <w:outlineLvl w:val="4"/>
    </w:pPr>
    <w:rPr>
      <w:rFonts w:ascii="Arial Black" w:hAnsi="Arial Black" w:cs="Arial Black"/>
      <w:spacing w:val="-2"/>
      <w:kern w:val="2"/>
      <w:sz w:val="18"/>
    </w:rPr>
  </w:style>
  <w:style w:type="character" w:styleId="DefaultParagraphFont">
    <w:name w:val="Default Paragraph Font"/>
    <w:qFormat/>
    <w:rPr/>
  </w:style>
  <w:style w:type="character" w:styleId="MessageHeaderLabel">
    <w:name w:val="Message Header Label"/>
    <w:qFormat/>
    <w:rPr>
      <w:rFonts w:ascii="Arial Black" w:hAnsi="Arial Black" w:cs="Arial Black"/>
      <w:spacing w:val="-10"/>
      <w:sz w:val="18"/>
    </w:rPr>
  </w:style>
  <w:style w:type="character" w:styleId="PageNumber">
    <w:name w:val="page number"/>
    <w:rPr>
      <w:sz w:val="18"/>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180" w:before="0" w:after="22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losing">
    <w:name w:val="Closing"/>
    <w:basedOn w:val="Normal"/>
    <w:qFormat/>
    <w:pPr>
      <w:keepNext w:val="true"/>
      <w:spacing w:lineRule="atLeast" w:line="220"/>
    </w:pPr>
    <w:rPr/>
  </w:style>
  <w:style w:type="paragraph" w:styleId="CompanyName">
    <w:name w:val="Company Name"/>
    <w:basedOn w:val="Normal"/>
    <w:qFormat/>
    <w:pPr>
      <w:keepLines/>
      <w:pBdr>
        <w:top w:val="single" w:sz="6" w:space="9" w:color="000000"/>
        <w:left w:val="single" w:sz="6" w:space="9" w:color="000000"/>
        <w:bottom w:val="single" w:sz="6" w:space="9" w:color="000000"/>
        <w:right w:val="single" w:sz="6" w:space="9" w:color="000000"/>
      </w:pBdr>
      <w:shd w:fill="000000" w:val="clear"/>
      <w:spacing w:lineRule="exact" w:line="320"/>
    </w:pPr>
    <w:rPr>
      <w:rFonts w:ascii="Arial Black" w:hAnsi="Arial Black" w:cs="Arial Black"/>
      <w:spacing w:val="-15"/>
      <w:position w:val="-2"/>
      <w:sz w:val="32"/>
    </w:rPr>
  </w:style>
  <w:style w:type="paragraph" w:styleId="DocumentLabel">
    <w:name w:val="Document Label"/>
    <w:basedOn w:val="Normal"/>
    <w:next w:val="Normal"/>
    <w:qFormat/>
    <w:pPr>
      <w:keepNext w:val="true"/>
      <w:keepLines/>
      <w:spacing w:lineRule="atLeast" w:line="240" w:before="400" w:after="120"/>
      <w:ind w:hanging="0" w:start="-840" w:end="0"/>
    </w:pPr>
    <w:rPr>
      <w:rFonts w:ascii="Arial Black" w:hAnsi="Arial Black" w:cs="Arial Black"/>
      <w:kern w:val="2"/>
      <w:sz w:val="96"/>
    </w:rPr>
  </w:style>
  <w:style w:type="paragraph" w:styleId="Enclosure">
    <w:name w:val="Enclosure"/>
    <w:basedOn w:val="BodyText"/>
    <w:next w:val="Normal"/>
    <w:qFormat/>
    <w:pPr>
      <w:keepLines/>
      <w:spacing w:before="220" w:after="220"/>
      <w:jc w:val="start"/>
    </w:pPr>
    <w:rPr/>
  </w:style>
  <w:style w:type="paragraph" w:styleId="HeaderBase">
    <w:name w:val="Header Base"/>
    <w:basedOn w:val="BodyText"/>
    <w:qFormat/>
    <w:pPr>
      <w:keepLines/>
      <w:tabs>
        <w:tab w:val="clear" w:pos="720"/>
        <w:tab w:val="center" w:pos="4320" w:leader="none"/>
        <w:tab w:val="right" w:pos="8640" w:leader="none"/>
      </w:tabs>
      <w:spacing w:before="0" w:after="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Base"/>
    <w:pPr>
      <w:spacing w:before="600" w:after="0"/>
    </w:pPr>
    <w:rPr>
      <w:sz w:val="18"/>
    </w:rPr>
  </w:style>
  <w:style w:type="paragraph" w:styleId="Header">
    <w:name w:val="header"/>
    <w:basedOn w:val="HeaderBase"/>
    <w:pPr>
      <w:spacing w:before="0" w:after="600"/>
    </w:pPr>
    <w:rPr/>
  </w:style>
  <w:style w:type="paragraph" w:styleId="HeadingBase">
    <w:name w:val="Heading Base"/>
    <w:basedOn w:val="BodyText"/>
    <w:next w:val="BodyText"/>
    <w:qFormat/>
    <w:pPr>
      <w:keepNext w:val="true"/>
      <w:keepLines/>
      <w:spacing w:before="0" w:after="0"/>
      <w:jc w:val="start"/>
    </w:pPr>
    <w:rPr>
      <w:rFonts w:ascii="Arial Black" w:hAnsi="Arial Black" w:cs="Arial Black"/>
      <w:spacing w:val="-10"/>
      <w:kern w:val="2"/>
    </w:rPr>
  </w:style>
  <w:style w:type="paragraph" w:styleId="MessageHeader">
    <w:name w:val="Message Header"/>
    <w:basedOn w:val="BodyText"/>
    <w:qFormat/>
    <w:pPr>
      <w:keepLines/>
      <w:spacing w:before="0" w:after="120"/>
      <w:ind w:hanging="720" w:start="720" w:end="0"/>
      <w:jc w:val="start"/>
    </w:pPr>
    <w:rPr/>
  </w:style>
  <w:style w:type="paragraph" w:styleId="MessageHeaderFirst">
    <w:name w:val="Message Header First"/>
    <w:basedOn w:val="MessageHeader"/>
    <w:next w:val="MessageHeader"/>
    <w:qFormat/>
    <w:pPr>
      <w:spacing w:before="220" w:after="120"/>
    </w:pPr>
    <w:rPr/>
  </w:style>
  <w:style w:type="paragraph" w:styleId="MessageHeaderLast">
    <w:name w:val="Message Header Last"/>
    <w:basedOn w:val="MessageHeader"/>
    <w:next w:val="BodyText"/>
    <w:qFormat/>
    <w:pPr>
      <w:pBdr>
        <w:bottom w:val="single" w:sz="6" w:space="15" w:color="000000"/>
      </w:pBdr>
      <w:spacing w:before="0" w:after="320"/>
    </w:pPr>
    <w:rPr/>
  </w:style>
  <w:style w:type="paragraph" w:styleId="NormalIndent">
    <w:name w:val="Normal Indent"/>
    <w:basedOn w:val="Normal"/>
    <w:qFormat/>
    <w:pPr>
      <w:ind w:hanging="0" w:start="720" w:end="0"/>
    </w:pPr>
    <w:rPr/>
  </w:style>
  <w:style w:type="paragraph" w:styleId="ReturnAddress">
    <w:name w:val="Return Address"/>
    <w:basedOn w:val="Normal"/>
    <w:qFormat/>
    <w:pPr>
      <w:keepLines/>
      <w:spacing w:lineRule="atLeast" w:line="200"/>
    </w:pPr>
    <w:rPr>
      <w:spacing w:val="-2"/>
      <w:sz w:val="16"/>
    </w:rPr>
  </w:style>
  <w:style w:type="paragraph" w:styleId="Signature">
    <w:name w:val="Signature"/>
    <w:basedOn w:val="BodyText"/>
    <w:pPr>
      <w:keepNext w:val="true"/>
      <w:keepLines/>
      <w:spacing w:before="660" w:after="0"/>
    </w:pPr>
    <w:rPr/>
  </w:style>
  <w:style w:type="paragraph" w:styleId="SignatureJobTitle">
    <w:name w:val="Signature Job Title"/>
    <w:basedOn w:val="Signature"/>
    <w:next w:val="Normal"/>
    <w:qFormat/>
    <w:pPr>
      <w:spacing w:before="0" w:after="0"/>
      <w:jc w:val="start"/>
    </w:pPr>
    <w:rPr/>
  </w:style>
  <w:style w:type="paragraph" w:styleId="SignatureName">
    <w:name w:val="Signature Name"/>
    <w:basedOn w:val="Signature"/>
    <w:next w:val="SignatureJobTitle"/>
    <w:qFormat/>
    <w:pPr>
      <w:spacing w:before="720" w:after="0"/>
      <w:jc w:val="start"/>
    </w:pPr>
    <w:rPr/>
  </w:style>
  <w:style w:type="paragraph" w:styleId="HeaderLeft">
    <w:name w:val="Header Left"/>
    <w:basedOn w:val="Header"/>
    <w:qFormat/>
    <w:pPr>
      <w:suppressLineNumbers/>
      <w:tabs>
        <w:tab w:val="clear" w:pos="4320"/>
        <w:tab w:val="clear" w:pos="8640"/>
        <w:tab w:val="center" w:pos="4824" w:leader="none"/>
        <w:tab w:val="right" w:pos="9648"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Memo Wizard</Template>
  <TotalTime>202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2000-11-30T20:37:00Z</dcterms:created>
  <dc:creator>Microsoft Corporation</dc:creator>
  <dc:description/>
  <dc:language>en-CA</dc:language>
  <cp:lastModifiedBy>ENRON</cp:lastModifiedBy>
  <cp:lastPrinted>2000-12-01T11:43:00Z</cp:lastPrinted>
  <dcterms:modified xsi:type="dcterms:W3CDTF">2000-12-01T12:41:00Z</dcterms:modified>
  <cp:revision>3</cp:revision>
  <dc:subject>Merchant Plant/Electrobolt Project</dc:subject>
  <dc:title>Memo</dc:title>
</cp:coreProperties>
</file>