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u w:val="single"/>
        </w:rPr>
      </w:pPr>
      <w:r>
        <w:rPr>
          <w:u w:val="single"/>
        </w:rPr>
        <w:t>SECURITY AND HUMAN RIGHTS IN EXTRACTIVE INDUSTRIES</w:t>
      </w:r>
    </w:p>
    <w:p>
      <w:pPr>
        <w:pStyle w:val="Heading"/>
        <w:rPr/>
      </w:pPr>
      <w:r>
        <w:rPr/>
        <w:t>14 November 2000</w:t>
      </w:r>
    </w:p>
    <w:p>
      <w:pPr>
        <w:pStyle w:val="Heading"/>
        <w:rPr/>
      </w:pPr>
      <w:r>
        <w:rPr/>
      </w:r>
    </w:p>
    <w:p>
      <w:pPr>
        <w:pStyle w:val="Heading"/>
        <w:jc w:val="start"/>
        <w:rPr/>
      </w:pPr>
      <w:r>
        <w:rPr>
          <w:b w:val="false"/>
          <w:bCs w:val="false"/>
        </w:rPr>
        <w:t>Due to its concerns for human rights, Enron is considering endorsing the voluntary principles re “</w:t>
      </w:r>
      <w:r>
        <w:rPr>
          <w:i/>
          <w:iCs/>
          <w:u w:val="single"/>
        </w:rPr>
        <w:t>Security And Human Rights In Extractive Industries</w:t>
      </w:r>
      <w:r>
        <w:rPr>
          <w:b w:val="false"/>
          <w:bCs w:val="false"/>
        </w:rPr>
        <w:t xml:space="preserve">” and related risk assessment and company-security service interaction guidelines that the U.S. and U.K. Governments are developing with industry and Non-Governmental Organizations representatives (the “Principles”).  We have collected observations from the legal groups of the business units that are primarily involved, and solicited input from certain Company operations officers.  We understand that the Company will adopt or endorse the 20 September 2000 draft of the Principles without revision. </w:t>
      </w:r>
    </w:p>
    <w:p>
      <w:pPr>
        <w:pStyle w:val="Heading"/>
        <w:jc w:val="start"/>
        <w:rPr>
          <w:b w:val="false"/>
          <w:bCs w:val="false"/>
        </w:rPr>
      </w:pPr>
      <w:r>
        <w:rPr>
          <w:b w:val="false"/>
          <w:bCs w:val="false"/>
        </w:rPr>
      </w:r>
    </w:p>
    <w:p>
      <w:pPr>
        <w:pStyle w:val="Heading"/>
        <w:jc w:val="start"/>
        <w:rPr/>
      </w:pPr>
      <w:r>
        <w:rPr>
          <w:b w:val="false"/>
          <w:bCs w:val="false"/>
        </w:rPr>
        <w:t xml:space="preserve">There is a need for widely accepted guidelines that deal with the interaction between the need for security and the potential impact on human rights.  </w:t>
      </w:r>
      <w:r>
        <w:rPr>
          <w:b w:val="false"/>
          <w:bCs w:val="false"/>
          <w:i/>
          <w:iCs/>
        </w:rPr>
        <w:t>There are no specific legal issues of a magnitude that would cause us to recommend that the Company not endorse these Principles (effectively making them Company policy), but we think that the Company should weigh certain concerns as part of its decision to do so.</w:t>
      </w:r>
      <w:r>
        <w:rPr>
          <w:b w:val="false"/>
          <w:bCs w:val="false"/>
        </w:rPr>
        <w:t xml:space="preserve">  These concerns relate to expected benefits, possible unintended consequences, the nature of implementation programs, and pragmatic project level concerns.  </w:t>
      </w:r>
    </w:p>
    <w:p>
      <w:pPr>
        <w:pStyle w:val="Heading"/>
        <w:jc w:val="start"/>
        <w:rPr>
          <w:b w:val="false"/>
          <w:bCs w:val="false"/>
        </w:rPr>
      </w:pPr>
      <w:r>
        <w:rPr>
          <w:b w:val="false"/>
          <w:bCs w:val="false"/>
        </w:rPr>
      </w:r>
    </w:p>
    <w:p>
      <w:pPr>
        <w:pStyle w:val="Heading"/>
        <w:jc w:val="start"/>
        <w:rPr/>
      </w:pPr>
      <w:r>
        <w:rPr>
          <w:b w:val="false"/>
          <w:bCs w:val="false"/>
          <w:u w:val="single"/>
        </w:rPr>
        <w:t>Benefits Expected</w:t>
      </w:r>
      <w:r>
        <w:rPr>
          <w:b w:val="false"/>
          <w:bCs w:val="false"/>
        </w:rPr>
        <w:t>.  Endorsing the Principles may not significantly affect the number or intensity of public debates regarding projects that are vulnerable to highly agitated protests or a disregard for the legal rights of the Company and its contractors and the welfare of their employees.  These projects usually are in locations that are less developed, have relatively harsher cultural views against public disorder, or in which perhaps unrelated political or social discontent become focused on the projects.</w:t>
      </w:r>
    </w:p>
    <w:p>
      <w:pPr>
        <w:pStyle w:val="Heading"/>
        <w:jc w:val="start"/>
        <w:rPr>
          <w:b w:val="false"/>
          <w:bCs w:val="false"/>
        </w:rPr>
      </w:pPr>
      <w:r>
        <w:rPr>
          <w:b w:val="false"/>
          <w:bCs w:val="false"/>
        </w:rPr>
      </w:r>
    </w:p>
    <w:p>
      <w:pPr>
        <w:pStyle w:val="Heading"/>
        <w:jc w:val="start"/>
        <w:rPr>
          <w:b w:val="false"/>
          <w:bCs w:val="false"/>
        </w:rPr>
      </w:pPr>
      <w:r>
        <w:rPr>
          <w:b w:val="false"/>
          <w:bCs w:val="false"/>
        </w:rPr>
        <w:t>The endorsement and implementation of the Principles will not eliminate and might not significantly reduce the number of debates regarding vulnerable projects or connected human rights allegations.  However, the Company couldn’t be effectively criticized for not endorsing the Principles, which would frame the boundary of the security and human rights aspects of the debate more clearly.  The Principles are written broadly enough that critics could still make arguments that the Company had not complied with them, almost regardless of the Company’s actual implementation measures.  Similarly, the breadth of the Principles should allow the Company to effectively respond that it has complied if it can show that it has taken reasonable and good faith implementation steps.</w:t>
      </w:r>
    </w:p>
    <w:p>
      <w:pPr>
        <w:pStyle w:val="Heading"/>
        <w:jc w:val="start"/>
        <w:rPr>
          <w:b w:val="false"/>
          <w:bCs w:val="false"/>
        </w:rPr>
      </w:pPr>
      <w:r>
        <w:rPr>
          <w:b w:val="false"/>
          <w:bCs w:val="false"/>
        </w:rPr>
      </w:r>
    </w:p>
    <w:p>
      <w:pPr>
        <w:pStyle w:val="Heading"/>
        <w:jc w:val="start"/>
        <w:rPr>
          <w:b w:val="false"/>
          <w:bCs w:val="false"/>
        </w:rPr>
      </w:pPr>
      <w:r>
        <w:rPr>
          <w:b w:val="false"/>
          <w:bCs w:val="false"/>
        </w:rPr>
        <w:t xml:space="preserve">Credibly implementing the Principles will increase costs.  In particular, if contractors are made contractually liable to the Company for compliance and are left to gage what they must do to fulfill the Principles, they likely will add a component to their prices.  A reasonably strong demonstration of compliance might reduce indirect public relations or investor relations impacts of any human rights/security incident that occurs, but may not reduce the direct, tangible costs of the incident (e.g., demonstrations, medical costs, lawsuits stemming from incidents that do occur), unless perhaps the Company might be able to persuade relevant parties that its efforts to comply with the SOP discharged it from any further “blame” or legal liability. </w:t>
      </w:r>
    </w:p>
    <w:p>
      <w:pPr>
        <w:pStyle w:val="Heading"/>
        <w:jc w:val="start"/>
        <w:rPr/>
      </w:pPr>
      <w:r>
        <w:rPr>
          <w:b w:val="false"/>
          <w:bCs w:val="false"/>
          <w:u w:val="single"/>
        </w:rPr>
        <w:t>Risk Assessment Section</w:t>
      </w:r>
      <w:r>
        <w:rPr>
          <w:b w:val="false"/>
          <w:bCs w:val="false"/>
        </w:rPr>
        <w:t xml:space="preserve">:  The Principles call for a process of risk assessment and information sharing that requires significant interface with local governments, non-governmental organizations (“NGO’s”), and local communities. </w:t>
      </w:r>
    </w:p>
    <w:p>
      <w:pPr>
        <w:pStyle w:val="Heading"/>
        <w:jc w:val="start"/>
        <w:rPr>
          <w:b w:val="false"/>
          <w:bCs w:val="false"/>
        </w:rPr>
      </w:pPr>
      <w:r>
        <w:rPr>
          <w:b w:val="false"/>
          <w:bCs w:val="false"/>
        </w:rPr>
      </w:r>
    </w:p>
    <w:p>
      <w:pPr>
        <w:pStyle w:val="Heading"/>
        <w:numPr>
          <w:ilvl w:val="0"/>
          <w:numId w:val="6"/>
        </w:numPr>
        <w:jc w:val="start"/>
        <w:rPr>
          <w:b w:val="false"/>
          <w:bCs w:val="false"/>
        </w:rPr>
      </w:pPr>
      <w:r>
        <w:rPr>
          <w:b w:val="false"/>
          <w:bCs w:val="false"/>
        </w:rPr>
        <w:t xml:space="preserve">How will the Company lead and manage this process so that it does not lose focus, become misdirected, or evolve into an informal “public notice and comment” forum that risks leaving the Company with arguable results as it commits to a project?  </w:t>
      </w:r>
    </w:p>
    <w:p>
      <w:pPr>
        <w:pStyle w:val="Heading"/>
        <w:numPr>
          <w:ilvl w:val="0"/>
          <w:numId w:val="6"/>
        </w:numPr>
        <w:jc w:val="start"/>
        <w:rPr>
          <w:b w:val="false"/>
          <w:bCs w:val="false"/>
        </w:rPr>
      </w:pPr>
      <w:r>
        <w:rPr>
          <w:b w:val="false"/>
          <w:bCs w:val="false"/>
        </w:rPr>
        <w:t>How and when will the Company make go/no-go decisions on a project based on the risk assessment, get the various interest groups to support “go” decisions, and how will it coordinate that process with the commercial imperatives to close and proceed?</w:t>
      </w:r>
    </w:p>
    <w:p>
      <w:pPr>
        <w:pStyle w:val="Heading"/>
        <w:numPr>
          <w:ilvl w:val="0"/>
          <w:numId w:val="6"/>
        </w:numPr>
        <w:jc w:val="start"/>
        <w:rPr>
          <w:b w:val="false"/>
          <w:bCs w:val="false"/>
        </w:rPr>
      </w:pPr>
      <w:r>
        <w:rPr>
          <w:b w:val="false"/>
          <w:bCs w:val="false"/>
        </w:rPr>
        <w:t>Should the suggested scrutiny of a host country’s human rights record, security system, and legal system for enforcing human rights be done well before any decision is made to enter the market, perhaps putting some countries “off-limits” for business?</w:t>
      </w:r>
    </w:p>
    <w:p>
      <w:pPr>
        <w:pStyle w:val="Heading"/>
        <w:rPr>
          <w:b w:val="false"/>
          <w:bCs w:val="false"/>
          <w:u w:val="single"/>
        </w:rPr>
      </w:pPr>
      <w:r>
        <w:rPr>
          <w:b w:val="false"/>
          <w:bCs w:val="false"/>
          <w:u w:val="single"/>
        </w:rPr>
      </w:r>
    </w:p>
    <w:p>
      <w:pPr>
        <w:pStyle w:val="Heading"/>
        <w:jc w:val="start"/>
        <w:rPr/>
      </w:pPr>
      <w:r>
        <w:rPr>
          <w:b w:val="false"/>
          <w:bCs w:val="false"/>
          <w:u w:val="single"/>
        </w:rPr>
        <w:t>Interaction Between Companies and Public Security</w:t>
      </w:r>
      <w:r>
        <w:rPr>
          <w:b w:val="false"/>
          <w:bCs w:val="false"/>
        </w:rPr>
        <w:t>.</w:t>
      </w:r>
      <w:r>
        <w:rPr/>
        <w:t xml:space="preserve">  </w:t>
      </w:r>
      <w:r>
        <w:rPr>
          <w:b w:val="false"/>
          <w:bCs w:val="false"/>
        </w:rPr>
        <w:t>The Principles call for significant interface and consultation with local government and state security authorities regarding the nature of their security arrangements, Company ethical and human rights policies and expectations, reporting of incidents of human rights abuses and use of force by security authorities to local government, and the monitoring of investigations.  They also call for the Company to evaluate credibility of reports and protect sources or reports.</w:t>
      </w:r>
    </w:p>
    <w:p>
      <w:pPr>
        <w:pStyle w:val="Heading"/>
        <w:jc w:val="start"/>
        <w:rPr>
          <w:b w:val="false"/>
          <w:bCs w:val="false"/>
        </w:rPr>
      </w:pPr>
      <w:r>
        <w:rPr>
          <w:b w:val="false"/>
          <w:bCs w:val="false"/>
        </w:rPr>
      </w:r>
    </w:p>
    <w:p>
      <w:pPr>
        <w:pStyle w:val="Heading"/>
        <w:numPr>
          <w:ilvl w:val="0"/>
          <w:numId w:val="7"/>
        </w:numPr>
        <w:jc w:val="start"/>
        <w:rPr>
          <w:b w:val="false"/>
          <w:bCs w:val="false"/>
        </w:rPr>
      </w:pPr>
      <w:r>
        <w:rPr>
          <w:b w:val="false"/>
          <w:bCs w:val="false"/>
        </w:rPr>
        <w:t xml:space="preserve">Should these responsibilities should be handled on at the project manager level, or by a designated corporate or regional level officer?  This issue becomes critical when it comes to reporting allegations of abuse by authorities, monitoring official investigations, or conducting independent investigations.  </w:t>
      </w:r>
      <w:r>
        <w:rPr>
          <w:b w:val="false"/>
          <w:bCs w:val="false"/>
          <w:i/>
          <w:iCs/>
        </w:rPr>
        <w:t>Local managers may have real concern regarding these requirements and their impact on the complicated relationships they have with local government and state security services</w:t>
      </w:r>
      <w:r>
        <w:rPr>
          <w:b w:val="false"/>
          <w:bCs w:val="false"/>
        </w:rPr>
        <w:t xml:space="preserve">. </w:t>
      </w:r>
    </w:p>
    <w:p>
      <w:pPr>
        <w:pStyle w:val="Heading"/>
        <w:numPr>
          <w:ilvl w:val="0"/>
          <w:numId w:val="7"/>
        </w:numPr>
        <w:jc w:val="start"/>
        <w:rPr>
          <w:b w:val="false"/>
          <w:bCs w:val="false"/>
        </w:rPr>
      </w:pPr>
      <w:r>
        <w:rPr>
          <w:b w:val="false"/>
          <w:bCs w:val="false"/>
          <w:color w:val="000000"/>
          <w:szCs w:val="20"/>
        </w:rPr>
        <w:t>The suggestion that the Company “take all appropriate measures to promote adherence to international law enforcement standards” is written so broadly that critics could portray it as an obligation to withdraw from a project or country.</w:t>
      </w:r>
    </w:p>
    <w:p>
      <w:pPr>
        <w:pStyle w:val="Heading"/>
        <w:rPr>
          <w:b w:val="false"/>
          <w:bCs w:val="false"/>
        </w:rPr>
      </w:pPr>
      <w:r>
        <w:rPr>
          <w:b w:val="false"/>
          <w:bCs w:val="false"/>
        </w:rPr>
      </w:r>
    </w:p>
    <w:p>
      <w:pPr>
        <w:pStyle w:val="Heading"/>
        <w:jc w:val="start"/>
        <w:rPr/>
      </w:pPr>
      <w:r>
        <w:rPr>
          <w:b w:val="false"/>
          <w:bCs w:val="false"/>
          <w:u w:val="single"/>
        </w:rPr>
        <w:t>Interactions Between Companies and Private Security</w:t>
      </w:r>
      <w:r>
        <w:rPr>
          <w:b w:val="false"/>
          <w:bCs w:val="false"/>
        </w:rPr>
        <w:t>: The section addresses the use of private security services where state services are inadequate or unavailable.  It deals with the selection of firms and the assessment of their personnel, standards of conduct, rules re engagement and use of deadly force, and the monitoring of their conduct.  It suggests that contracts obligate security firms to comply with the Principles, that companies consult with local government, community leaders, and NGO’s in selecting private security firms, and that Companies share information regarding abuses by private security firms.</w:t>
      </w:r>
    </w:p>
    <w:p>
      <w:pPr>
        <w:pStyle w:val="Heading"/>
        <w:jc w:val="start"/>
        <w:rPr>
          <w:b w:val="false"/>
          <w:bCs w:val="false"/>
        </w:rPr>
      </w:pPr>
      <w:r>
        <w:rPr>
          <w:b w:val="false"/>
          <w:bCs w:val="false"/>
        </w:rPr>
      </w:r>
    </w:p>
    <w:p>
      <w:pPr>
        <w:pStyle w:val="Heading"/>
        <w:numPr>
          <w:ilvl w:val="0"/>
          <w:numId w:val="2"/>
        </w:numPr>
        <w:jc w:val="start"/>
        <w:rPr>
          <w:b w:val="false"/>
          <w:bCs w:val="false"/>
        </w:rPr>
      </w:pPr>
      <w:r>
        <w:rPr>
          <w:b w:val="false"/>
          <w:bCs w:val="false"/>
        </w:rPr>
        <w:t xml:space="preserve">Too much involvement with the management, selection, and training of private security firms might impair the ability of the Company to deal with the firms as independent contractors.  If so, the Company would be potentially more exposed to liability for not only any human rights violations or torts committed by the firms, but also for taxes and benefits related to the firms employees. </w:t>
      </w:r>
    </w:p>
    <w:p>
      <w:pPr>
        <w:pStyle w:val="Heading"/>
        <w:numPr>
          <w:ilvl w:val="0"/>
          <w:numId w:val="2"/>
        </w:numPr>
        <w:jc w:val="start"/>
        <w:rPr>
          <w:b w:val="false"/>
          <w:bCs w:val="false"/>
        </w:rPr>
      </w:pPr>
      <w:r>
        <w:rPr>
          <w:b w:val="false"/>
          <w:bCs w:val="false"/>
        </w:rPr>
        <w:t xml:space="preserve">The assessment process may cause the Company to employ recognized but expensive international security firms where it otherwise might have worked with less expensive local firms.  International firms might be hired to entirely staff a security operation, or only to engage and manage a local firm on a turnkey basis.  Either would increase costs, and might cause friction with local firms or populations. </w:t>
      </w:r>
    </w:p>
    <w:p>
      <w:pPr>
        <w:pStyle w:val="Heading"/>
        <w:numPr>
          <w:ilvl w:val="0"/>
          <w:numId w:val="2"/>
        </w:numPr>
        <w:jc w:val="start"/>
        <w:rPr>
          <w:b w:val="false"/>
          <w:bCs w:val="false"/>
        </w:rPr>
      </w:pPr>
      <w:r>
        <w:rPr>
          <w:b w:val="false"/>
          <w:bCs w:val="false"/>
        </w:rPr>
        <w:t>The Company may expose itself to damage claims if it files erroneous or “close call” reports of abuses by the private firms, which it might be pressured to do by NGO’s.</w:t>
      </w:r>
    </w:p>
    <w:p>
      <w:pPr>
        <w:pStyle w:val="Heading"/>
        <w:numPr>
          <w:ilvl w:val="0"/>
          <w:numId w:val="2"/>
        </w:numPr>
        <w:jc w:val="start"/>
        <w:rPr>
          <w:b w:val="false"/>
          <w:bCs w:val="false"/>
        </w:rPr>
      </w:pPr>
      <w:r>
        <w:rPr>
          <w:b w:val="false"/>
          <w:bCs w:val="false"/>
        </w:rPr>
        <w:t xml:space="preserve">The Company should consider what level office should review, select, and train private security firms and investigate and report allegations of abuse, and the manner and extent to which it will involve NGO’s in the selection of security firms.  </w:t>
      </w:r>
    </w:p>
    <w:p>
      <w:pPr>
        <w:pStyle w:val="Heading"/>
        <w:jc w:val="start"/>
        <w:rPr>
          <w:b w:val="false"/>
          <w:bCs w:val="false"/>
        </w:rPr>
      </w:pPr>
      <w:r>
        <w:rPr>
          <w:b w:val="false"/>
          <w:bCs w:val="false"/>
        </w:rPr>
      </w:r>
    </w:p>
    <w:p>
      <w:pPr>
        <w:pStyle w:val="Heading"/>
        <w:jc w:val="start"/>
        <w:rPr/>
      </w:pPr>
      <w:r>
        <w:rPr>
          <w:b w:val="false"/>
          <w:bCs w:val="false"/>
          <w:u w:val="single"/>
        </w:rPr>
        <w:t>Recommendation</w:t>
      </w:r>
      <w:r>
        <w:rPr>
          <w:b w:val="false"/>
          <w:bCs w:val="false"/>
        </w:rPr>
        <w:t xml:space="preserve">: If the Company endorses the Principles, then it will be vulnerable to criticism unless it can show a credible implementation and compliance program.  We suggest that the Company consider the following in designing an implementation and compliance program: </w:t>
      </w:r>
    </w:p>
    <w:p>
      <w:pPr>
        <w:pStyle w:val="Heading"/>
        <w:jc w:val="start"/>
        <w:rPr>
          <w:b w:val="false"/>
          <w:bCs w:val="false"/>
        </w:rPr>
      </w:pPr>
      <w:r>
        <w:rPr>
          <w:b w:val="false"/>
          <w:bCs w:val="false"/>
        </w:rPr>
      </w:r>
    </w:p>
    <w:p>
      <w:pPr>
        <w:pStyle w:val="Heading"/>
        <w:numPr>
          <w:ilvl w:val="0"/>
          <w:numId w:val="1"/>
        </w:numPr>
        <w:jc w:val="start"/>
        <w:rPr>
          <w:b w:val="false"/>
          <w:bCs w:val="false"/>
        </w:rPr>
      </w:pPr>
      <w:r>
        <w:rPr>
          <w:b w:val="false"/>
          <w:bCs w:val="false"/>
        </w:rPr>
        <w:t>Designating an officer responsible for Corp. – wide implementation, training, monitoring, and reporting program.</w:t>
      </w:r>
    </w:p>
    <w:p>
      <w:pPr>
        <w:pStyle w:val="Heading"/>
        <w:ind w:start="360" w:end="0"/>
        <w:jc w:val="start"/>
        <w:rPr>
          <w:b w:val="false"/>
          <w:bCs w:val="false"/>
        </w:rPr>
      </w:pPr>
      <w:r>
        <w:rPr>
          <w:b w:val="false"/>
          <w:bCs w:val="false"/>
        </w:rPr>
      </w:r>
    </w:p>
    <w:p>
      <w:pPr>
        <w:pStyle w:val="Heading"/>
        <w:numPr>
          <w:ilvl w:val="0"/>
          <w:numId w:val="5"/>
        </w:numPr>
        <w:jc w:val="start"/>
        <w:rPr>
          <w:b w:val="false"/>
          <w:bCs w:val="false"/>
        </w:rPr>
      </w:pPr>
      <w:r>
        <w:rPr>
          <w:b w:val="false"/>
          <w:bCs w:val="false"/>
        </w:rPr>
        <w:t xml:space="preserve">Producing written procedures with specific measures designed to fulfill each point in the Principles, including involving the compliance office with the business origination and project management teams early enough to make implementation of the risk assessment principles effective and credible. </w:t>
      </w:r>
    </w:p>
    <w:p>
      <w:pPr>
        <w:pStyle w:val="Heading"/>
        <w:jc w:val="start"/>
        <w:rPr>
          <w:b w:val="false"/>
          <w:bCs w:val="false"/>
        </w:rPr>
      </w:pPr>
      <w:r>
        <w:rPr>
          <w:b w:val="false"/>
          <w:bCs w:val="false"/>
        </w:rPr>
      </w:r>
    </w:p>
    <w:p>
      <w:pPr>
        <w:pStyle w:val="Heading"/>
        <w:numPr>
          <w:ilvl w:val="0"/>
          <w:numId w:val="5"/>
        </w:numPr>
        <w:jc w:val="start"/>
        <w:rPr>
          <w:b w:val="false"/>
          <w:bCs w:val="false"/>
        </w:rPr>
      </w:pPr>
      <w:r>
        <w:rPr>
          <w:b w:val="false"/>
          <w:bCs w:val="false"/>
        </w:rPr>
        <w:t>Determining whether existing projects require modification to be compliant.</w:t>
      </w:r>
    </w:p>
    <w:p>
      <w:pPr>
        <w:pStyle w:val="Heading"/>
        <w:ind w:start="360" w:end="0"/>
        <w:jc w:val="start"/>
        <w:rPr>
          <w:b w:val="false"/>
          <w:bCs w:val="false"/>
        </w:rPr>
      </w:pPr>
      <w:r>
        <w:rPr>
          <w:b w:val="false"/>
          <w:bCs w:val="false"/>
        </w:rPr>
      </w:r>
    </w:p>
    <w:p>
      <w:pPr>
        <w:pStyle w:val="Heading"/>
        <w:numPr>
          <w:ilvl w:val="0"/>
          <w:numId w:val="4"/>
        </w:numPr>
        <w:jc w:val="start"/>
        <w:rPr>
          <w:b w:val="false"/>
          <w:bCs w:val="false"/>
        </w:rPr>
      </w:pPr>
      <w:r>
        <w:rPr>
          <w:b w:val="false"/>
          <w:bCs w:val="false"/>
        </w:rPr>
        <w:t xml:space="preserve">Training (including periodic refresher training) on specific policy requirements for commercial origination teams and project managers (including for applicable JV projects).  Originator training should be conducted very early in the project development and assessment phase.  Project manager training should be conducted on existing projects and before kick-off of new projects.  </w:t>
      </w:r>
    </w:p>
    <w:p>
      <w:pPr>
        <w:pStyle w:val="Heading"/>
        <w:jc w:val="start"/>
        <w:rPr>
          <w:b w:val="false"/>
          <w:bCs w:val="false"/>
        </w:rPr>
      </w:pPr>
      <w:r>
        <w:rPr>
          <w:b w:val="false"/>
          <w:bCs w:val="false"/>
        </w:rPr>
      </w:r>
    </w:p>
    <w:p>
      <w:pPr>
        <w:pStyle w:val="Heading"/>
        <w:numPr>
          <w:ilvl w:val="0"/>
          <w:numId w:val="4"/>
        </w:numPr>
        <w:jc w:val="start"/>
        <w:rPr>
          <w:b w:val="false"/>
          <w:bCs w:val="false"/>
        </w:rPr>
      </w:pPr>
      <w:r>
        <w:rPr>
          <w:b w:val="false"/>
          <w:bCs w:val="false"/>
        </w:rPr>
        <w:t xml:space="preserve">Determining the degrees to which project personnel and Corp. level personnel, respectively, will be involved in the various interactions with local authorities, state security, and NGO’s called for by the Principles. </w:t>
      </w:r>
    </w:p>
    <w:p>
      <w:pPr>
        <w:pStyle w:val="Heading"/>
        <w:jc w:val="start"/>
        <w:rPr>
          <w:b w:val="false"/>
          <w:bCs w:val="false"/>
        </w:rPr>
      </w:pPr>
      <w:r>
        <w:rPr>
          <w:b w:val="false"/>
          <w:bCs w:val="false"/>
        </w:rPr>
      </w:r>
    </w:p>
    <w:p>
      <w:pPr>
        <w:pStyle w:val="Heading"/>
        <w:numPr>
          <w:ilvl w:val="0"/>
          <w:numId w:val="4"/>
        </w:numPr>
        <w:jc w:val="start"/>
        <w:rPr>
          <w:b w:val="false"/>
          <w:bCs w:val="false"/>
        </w:rPr>
      </w:pPr>
      <w:r>
        <w:rPr>
          <w:b w:val="false"/>
          <w:bCs w:val="false"/>
        </w:rPr>
        <w:t>Requiring Corp. level approval of decisions to use private security firms and the selection of individual firms.</w:t>
      </w:r>
    </w:p>
    <w:p>
      <w:pPr>
        <w:pStyle w:val="Heading"/>
        <w:jc w:val="start"/>
        <w:rPr>
          <w:b w:val="false"/>
          <w:bCs w:val="false"/>
        </w:rPr>
      </w:pPr>
      <w:r>
        <w:rPr>
          <w:b w:val="false"/>
          <w:bCs w:val="false"/>
        </w:rPr>
      </w:r>
    </w:p>
    <w:p>
      <w:pPr>
        <w:pStyle w:val="Heading"/>
        <w:numPr>
          <w:ilvl w:val="0"/>
          <w:numId w:val="3"/>
        </w:numPr>
        <w:jc w:val="start"/>
        <w:rPr>
          <w:b w:val="false"/>
          <w:bCs w:val="false"/>
        </w:rPr>
      </w:pPr>
      <w:r>
        <w:rPr>
          <w:b w:val="false"/>
          <w:bCs w:val="false"/>
        </w:rPr>
        <w:t xml:space="preserve">Establishing a single Corp.-level crisis management committee to deal incidents covered by the Principles and other human rights policies, with clear procedures for project/facility managers to invoke the committee and to deal with emergencies on site prior to committee engagement. </w:t>
      </w:r>
    </w:p>
    <w:p>
      <w:pPr>
        <w:pStyle w:val="Heading"/>
        <w:jc w:val="start"/>
        <w:rPr>
          <w:b w:val="false"/>
          <w:bCs w:val="false"/>
        </w:rPr>
      </w:pPr>
      <w:r>
        <w:rPr>
          <w:b w:val="false"/>
          <w:bCs w:val="false"/>
        </w:rPr>
      </w:r>
    </w:p>
    <w:p>
      <w:pPr>
        <w:pStyle w:val="Heading"/>
        <w:numPr>
          <w:ilvl w:val="0"/>
          <w:numId w:val="3"/>
        </w:numPr>
        <w:jc w:val="start"/>
        <w:rPr>
          <w:b w:val="false"/>
          <w:bCs w:val="false"/>
        </w:rPr>
      </w:pPr>
      <w:r>
        <w:rPr>
          <w:b w:val="false"/>
          <w:bCs w:val="false"/>
        </w:rPr>
        <w:t>Defining Corp.-level pre-clearance procedures to deal with reporting of known or suspected violations of human rights by local authorities, state and private security services, or others.  (Field personnel should NOT be required or permitted to act at their level on these sensitive matters.)</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2">
    <w:name w:val="WW8Num1z2"/>
    <w:qFormat/>
    <w:rPr>
      <w:rFonts w:ascii="Wingdings" w:hAnsi="Wingdings" w:cs="Wingdings"/>
    </w:rPr>
  </w:style>
  <w:style w:type="character" w:styleId="WW8Num1z4">
    <w:name w:val="WW8Num1z4"/>
    <w:qFormat/>
    <w:rPr>
      <w:rFonts w:ascii="Courier New" w:hAnsi="Courier New" w:cs="Courier New"/>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2">
    <w:name w:val="WW8Num4z2"/>
    <w:qFormat/>
    <w:rPr>
      <w:rFonts w:ascii="Wingdings" w:hAnsi="Wingdings" w:cs="Wingdings"/>
    </w:rPr>
  </w:style>
  <w:style w:type="character" w:styleId="WW8Num4z4">
    <w:name w:val="WW8Num4z4"/>
    <w:qFormat/>
    <w:rPr>
      <w:rFonts w:ascii="Courier New" w:hAnsi="Courier New" w:cs="Courier New"/>
    </w:rPr>
  </w:style>
  <w:style w:type="character" w:styleId="WW8Num5z0">
    <w:name w:val="WW8Num5z0"/>
    <w:qFormat/>
    <w:rPr>
      <w:rFonts w:ascii="Symbol" w:hAnsi="Symbol" w:cs="Symbol"/>
    </w:rPr>
  </w:style>
  <w:style w:type="character" w:styleId="WW8Num5z2">
    <w:name w:val="WW8Num5z2"/>
    <w:qFormat/>
    <w:rPr>
      <w:rFonts w:ascii="Wingdings" w:hAnsi="Wingdings" w:cs="Wingdings"/>
    </w:rPr>
  </w:style>
  <w:style w:type="character" w:styleId="WW8Num5z4">
    <w:name w:val="WW8Num5z4"/>
    <w:qFormat/>
    <w:rPr>
      <w:rFonts w:ascii="Courier New" w:hAnsi="Courier New" w:cs="Courier New"/>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1">
    <w:name w:val="WW8Num8z1"/>
    <w:qFormat/>
    <w:rPr>
      <w:rFonts w:ascii="Symbol" w:hAnsi="Symbol" w:cs="Symbol"/>
    </w:rPr>
  </w:style>
  <w:style w:type="character" w:styleId="WW8Num8z2">
    <w:name w:val="WW8Num8z2"/>
    <w:qFormat/>
    <w:rPr>
      <w:rFonts w:ascii="Wingdings" w:hAnsi="Wingdings" w:cs="Wingdings"/>
    </w:rPr>
  </w:style>
  <w:style w:type="character" w:styleId="WW8Num8z4">
    <w:name w:val="WW8Num8z4"/>
    <w:qFormat/>
    <w:rPr>
      <w:rFonts w:ascii="Courier New" w:hAnsi="Courier New" w:cs="Courier New"/>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1191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2000-11-09T12:24:00Z</dcterms:created>
  <dc:creator>John Schwartzenburg</dc:creator>
  <dc:description/>
  <dc:language>en-CA</dc:language>
  <cp:lastModifiedBy>John Schwartzenburg</cp:lastModifiedBy>
  <dcterms:modified xsi:type="dcterms:W3CDTF">2000-11-14T17:30:00Z</dcterms:modified>
  <cp:revision>32</cp:revision>
  <dc:subject/>
  <dc:title>COMMENTS</dc:title>
</cp:coreProperties>
</file>