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[G-P Draft -- 09/14/01]</w:t>
      </w:r>
    </w:p>
    <w:p>
      <w:pPr>
        <w:pStyle w:val="Normal"/>
        <w:jc w:val="center"/>
        <w:rPr>
          <w:b/>
        </w:rPr>
      </w:pPr>
      <w:r>
        <w:rPr>
          <w:b/>
        </w:rPr>
      </w:r>
    </w:p>
    <w:p>
      <w:pPr>
        <w:pStyle w:val="Normal"/>
        <w:jc w:val="center"/>
        <w:rPr/>
      </w:pPr>
      <w:r>
        <w:rPr/>
      </w:r>
    </w:p>
    <w:p>
      <w:pPr>
        <w:pStyle w:val="Normal"/>
        <w:jc w:val="center"/>
        <w:rPr>
          <w:b/>
        </w:rPr>
      </w:pPr>
      <w:r>
        <w:rPr>
          <w:b/>
        </w:rPr>
        <w:t>LEAF RIVER SERVICES AGREEMENT</w:t>
      </w:r>
    </w:p>
    <w:p>
      <w:pPr>
        <w:pStyle w:val="Normal"/>
        <w:jc w:val="center"/>
        <w:rPr>
          <w:b/>
        </w:rPr>
      </w:pPr>
      <w:r>
        <w:rPr>
          <w:b/>
        </w:rPr>
      </w:r>
    </w:p>
    <w:p>
      <w:pPr>
        <w:pStyle w:val="Normal"/>
        <w:jc w:val="center"/>
        <w:rPr/>
      </w:pPr>
      <w:r>
        <w:rPr/>
      </w:r>
    </w:p>
    <w:p>
      <w:pPr>
        <w:pStyle w:val="Normal"/>
        <w:spacing w:lineRule="auto" w:line="360"/>
        <w:rPr/>
      </w:pPr>
      <w:r>
        <w:rPr/>
        <w:tab/>
        <w:t>This Leaf River Services Agreement (this “Agreement”) dated as of ___________, 2001, between NewCo, LLC, a Delaware limited liability company having its headquarters at 1400 Smith Street, Houston, TX  77002 (“NewCo”), and Georgia-Pacific Corporation, a Georgia corporation having its headquarters at 133 Peachtree Street, N.E., Atlanta, Georgia  30303 (“G-P”).</w:t>
      </w:r>
    </w:p>
    <w:p>
      <w:pPr>
        <w:pStyle w:val="Normal"/>
        <w:spacing w:lineRule="auto" w:line="360"/>
        <w:rPr/>
      </w:pPr>
      <w:r>
        <w:rPr/>
      </w:r>
    </w:p>
    <w:p>
      <w:pPr>
        <w:pStyle w:val="Normal"/>
        <w:spacing w:lineRule="auto" w:line="360"/>
        <w:rPr/>
      </w:pPr>
      <w:r>
        <w:rPr/>
        <w:tab/>
        <w:t>WHEREAS, the sawmill operated by G-P (the “Sawmill”), which is on the site of the Leaf River Pulp Mill located at New Augusta, Mississippi (the “Leaf River Mill”), has been the beneficiary of certain support services and utilities provided by the Leaf River Mill, and which support services G-P now desires to have NewCo continue to supply to the Sawmill; such services and utilities, and the charges therefor, are detailed in  Schedule I attached hereto and are referred to herein as the “Support Services”; and</w:t>
      </w:r>
    </w:p>
    <w:p>
      <w:pPr>
        <w:pStyle w:val="Normal"/>
        <w:spacing w:lineRule="auto" w:line="360"/>
        <w:rPr/>
      </w:pPr>
      <w:r>
        <w:rPr/>
      </w:r>
    </w:p>
    <w:p>
      <w:pPr>
        <w:pStyle w:val="Normal"/>
        <w:spacing w:lineRule="auto" w:line="360"/>
        <w:rPr/>
      </w:pPr>
      <w:r>
        <w:rPr/>
        <w:tab/>
        <w:t>WHEREAS, G-P has requested that NewCo perform, or cause to be performed, the Support Services designated herein for the Sawmill, while G-P owns the Sawmill.</w:t>
      </w:r>
    </w:p>
    <w:p>
      <w:pPr>
        <w:pStyle w:val="Normal"/>
        <w:spacing w:lineRule="auto" w:line="360"/>
        <w:rPr/>
      </w:pPr>
      <w:r>
        <w:rPr/>
      </w:r>
    </w:p>
    <w:p>
      <w:pPr>
        <w:pStyle w:val="BodyTextIndent"/>
        <w:tabs>
          <w:tab w:val="clear" w:pos="1980"/>
          <w:tab w:val="left" w:pos="1340" w:leader="none"/>
        </w:tabs>
        <w:spacing w:lineRule="auto" w:line="360"/>
        <w:rPr/>
      </w:pPr>
      <w:r>
        <w:rPr/>
        <w:tab/>
        <w:t>NOW, THEREFORE, in consideration of the mutual promises contained herein and other good and valuable consideration, the sufficiency of which is mutually acknowledged, the parties hereto agree as follows:</w:t>
      </w:r>
    </w:p>
    <w:p>
      <w:pPr>
        <w:pStyle w:val="Normal"/>
        <w:tabs>
          <w:tab w:val="clear" w:pos="720"/>
          <w:tab w:val="left" w:pos="1340" w:leader="none"/>
        </w:tabs>
        <w:rPr/>
      </w:pPr>
      <w:r>
        <w:rPr/>
      </w:r>
    </w:p>
    <w:p>
      <w:pPr>
        <w:pStyle w:val="Heading1"/>
        <w:keepLines/>
        <w:tabs>
          <w:tab w:val="clear" w:pos="720"/>
          <w:tab w:val="left" w:pos="1340" w:leader="none"/>
          <w:tab w:val="left" w:pos="1800" w:leader="none"/>
        </w:tabs>
        <w:ind w:hanging="0" w:start="0"/>
        <w:jc w:val="center"/>
        <w:rPr/>
      </w:pPr>
      <w:r>
        <w:rPr/>
        <w:t>ARTICLE 1</w:t>
        <w:tab/>
        <w:t>- PROVISION OF SUPPORT SERVICES</w:t>
      </w:r>
    </w:p>
    <w:p>
      <w:pPr>
        <w:pStyle w:val="EnvelopeReturn"/>
        <w:keepNext w:val="true"/>
        <w:keepLines/>
        <w:tabs>
          <w:tab w:val="clear" w:pos="720"/>
          <w:tab w:val="left" w:pos="1340" w:leader="none"/>
          <w:tab w:val="left" w:pos="1980" w:leader="none"/>
        </w:tabs>
        <w:rPr/>
      </w:pPr>
      <w:r>
        <w:rPr/>
      </w:r>
    </w:p>
    <w:p>
      <w:pPr>
        <w:pStyle w:val="BodyTextIndent"/>
        <w:keepNext w:val="true"/>
        <w:keepLines/>
        <w:spacing w:lineRule="auto" w:line="360"/>
        <w:rPr/>
      </w:pPr>
      <w:r>
        <w:rPr/>
        <w:t>1.1</w:t>
        <w:tab/>
        <w:t>NewCo agrees to provide, or to cause to be provided (or with respect to any public utility, coordinate with the public utility for the provision of), and G-P agrees to purchase and utilize, the Support Services listed on Schedule I.</w:t>
      </w:r>
    </w:p>
    <w:p>
      <w:pPr>
        <w:pStyle w:val="Normal"/>
        <w:tabs>
          <w:tab w:val="clear" w:pos="720"/>
          <w:tab w:val="left" w:pos="1340" w:leader="none"/>
          <w:tab w:val="left" w:pos="1980" w:leader="none"/>
        </w:tabs>
        <w:rPr/>
      </w:pPr>
      <w:r>
        <w:rPr/>
      </w:r>
    </w:p>
    <w:p>
      <w:pPr>
        <w:pStyle w:val="BodyTextIndent"/>
        <w:spacing w:lineRule="auto" w:line="360"/>
        <w:rPr/>
      </w:pPr>
      <w:r>
        <w:rPr/>
        <w:t>1.2</w:t>
        <w:tab/>
        <w:t>NewCo will provide, or cause to be provided, the Support Services in a substantially similar form and nature as provided, as of the date of this Agreement, to the Sawmill.  Any requested changes in the manner of providing Support Services will be made if NewCo is reasonably able to provide such Support Services as so modified.</w:t>
      </w:r>
    </w:p>
    <w:p>
      <w:pPr>
        <w:pStyle w:val="Normal"/>
        <w:tabs>
          <w:tab w:val="clear" w:pos="720"/>
          <w:tab w:val="left" w:pos="1340" w:leader="none"/>
          <w:tab w:val="left" w:pos="1980" w:leader="none"/>
        </w:tabs>
        <w:rPr/>
      </w:pPr>
      <w:r>
        <w:rPr/>
      </w:r>
    </w:p>
    <w:p>
      <w:pPr>
        <w:pStyle w:val="BodyTextIndent"/>
        <w:spacing w:lineRule="auto" w:line="360"/>
        <w:rPr/>
      </w:pPr>
      <w:r>
        <w:rPr/>
        <w:t>1.3</w:t>
        <w:tab/>
        <w:t>If NewCo desires to use subcontractors to perform any portion of the Support Services, NewCo shall obtain G</w:t>
        <w:noBreakHyphen/>
        <w:t>P’s prior written consent, which may not be unreasonably withheld or delayed, except that such consent is not required for subcontractors used by Leaf River as of the date hereof or for temporary employees or subcontractors hired or engaged in the ordinary course of business consistent with past practice to provide such Support Services.  NewCo shall be fully responsible for any and all actions or inactions of subcontractors, even if their use has been consented to by G-P.</w:t>
      </w:r>
    </w:p>
    <w:p>
      <w:pPr>
        <w:pStyle w:val="Normal"/>
        <w:tabs>
          <w:tab w:val="clear" w:pos="720"/>
          <w:tab w:val="left" w:pos="1340" w:leader="none"/>
          <w:tab w:val="left" w:pos="1980" w:leader="none"/>
        </w:tabs>
        <w:rPr/>
      </w:pPr>
      <w:r>
        <w:rPr/>
      </w:r>
    </w:p>
    <w:p>
      <w:pPr>
        <w:pStyle w:val="BodyTextIndent"/>
        <w:spacing w:lineRule="auto" w:line="360"/>
        <w:rPr/>
      </w:pPr>
      <w:r>
        <w:rPr/>
        <w:t>1.4</w:t>
        <w:tab/>
        <w:t xml:space="preserve">NewCo's obligation to provide Support Services shall be conditioned upon and subject to any contractual and legal obligations, prohibitions and restrictions applicable to NewCo regarding such services and utilities, and this Agreement shall not obligate NewCo to violate, modify or eliminate any such obligation, prohibition or restriction.  </w:t>
      </w:r>
    </w:p>
    <w:p>
      <w:pPr>
        <w:pStyle w:val="Normal"/>
        <w:tabs>
          <w:tab w:val="left" w:pos="720" w:leader="none"/>
        </w:tabs>
        <w:rPr/>
      </w:pPr>
      <w:r>
        <w:rPr/>
      </w:r>
    </w:p>
    <w:p>
      <w:pPr>
        <w:pStyle w:val="Heading1"/>
        <w:spacing w:lineRule="auto" w:line="360"/>
        <w:ind w:hanging="0" w:start="0"/>
        <w:jc w:val="center"/>
        <w:rPr/>
      </w:pPr>
      <w:r>
        <w:rPr/>
        <w:t>ARTICLE 2 -</w:t>
        <w:tab/>
        <w:t>ENVIRONMENTAL MATTERS</w:t>
      </w:r>
    </w:p>
    <w:p>
      <w:pPr>
        <w:pStyle w:val="Normal"/>
        <w:spacing w:lineRule="auto" w:line="360"/>
        <w:ind w:firstLine="720" w:end="0"/>
        <w:rPr/>
      </w:pPr>
      <w:r>
        <w:rPr/>
      </w:r>
    </w:p>
    <w:p>
      <w:pPr>
        <w:pStyle w:val="Normal"/>
        <w:spacing w:lineRule="auto" w:line="360"/>
        <w:ind w:firstLine="720" w:end="0"/>
        <w:rPr/>
      </w:pPr>
      <w:r>
        <w:rPr/>
        <w:t xml:space="preserve">NewCo will accept all process wastewater and sanitary sewage discharged from the Sawmill into the Leaf River Mill, provided that such process wastewater and sanitary sewage is substantially similar to that discharged by the Sawmill during the twelve month period immediately preceding the date of this Agreement.  G-P will not change the chemical nature of the Sawmill’s discharges to the Leaf River Mill without the prior written consent of NewCo, which consent may not be unreasonably withheld or delayed. </w:t>
      </w:r>
    </w:p>
    <w:p>
      <w:pPr>
        <w:pStyle w:val="p01"/>
        <w:keepNext w:val="true"/>
        <w:keepLines/>
        <w:tabs>
          <w:tab w:val="clear" w:pos="720"/>
          <w:tab w:val="left" w:pos="1440" w:leader="none"/>
          <w:tab w:val="left" w:pos="2020" w:leader="none"/>
        </w:tabs>
        <w:spacing w:lineRule="auto" w:line="240"/>
        <w:ind w:firstLine="720" w:end="0"/>
        <w:jc w:val="start"/>
        <w:rPr/>
      </w:pPr>
      <w:r>
        <w:rPr/>
      </w:r>
    </w:p>
    <w:p>
      <w:pPr>
        <w:pStyle w:val="p01"/>
        <w:keepNext w:val="true"/>
        <w:keepLines/>
        <w:tabs>
          <w:tab w:val="clear" w:pos="720"/>
          <w:tab w:val="left" w:pos="1440" w:leader="none"/>
          <w:tab w:val="left" w:pos="2020" w:leader="none"/>
        </w:tabs>
        <w:spacing w:lineRule="auto" w:line="240"/>
        <w:jc w:val="center"/>
        <w:rPr>
          <w:b/>
        </w:rPr>
      </w:pPr>
      <w:r>
        <w:rPr>
          <w:b/>
          <w:u w:val="single"/>
        </w:rPr>
        <w:t>ARTICLE 3 - TERM AND TERMINATION</w:t>
      </w:r>
    </w:p>
    <w:p>
      <w:pPr>
        <w:pStyle w:val="p0"/>
        <w:rPr>
          <w:b/>
        </w:rPr>
      </w:pPr>
      <w:r>
        <w:rPr>
          <w:b/>
        </w:rPr>
      </w:r>
    </w:p>
    <w:p>
      <w:pPr>
        <w:pStyle w:val="Normal"/>
        <w:keepNext w:val="true"/>
        <w:keepLines/>
        <w:tabs>
          <w:tab w:val="clear" w:pos="720"/>
          <w:tab w:val="left" w:pos="1290" w:leader="none"/>
          <w:tab w:val="left" w:pos="2010" w:leader="none"/>
          <w:tab w:val="left" w:pos="2730" w:leader="none"/>
          <w:tab w:val="left" w:pos="4750" w:leader="none"/>
          <w:tab w:val="left" w:pos="6760" w:leader="none"/>
          <w:tab w:val="left" w:pos="9360" w:leader="none"/>
        </w:tabs>
        <w:spacing w:lineRule="auto" w:line="360" w:before="120" w:after="0"/>
        <w:rPr/>
      </w:pPr>
      <w:r>
        <w:rPr/>
        <w:tab/>
        <w:t>3.1</w:t>
        <w:tab/>
      </w:r>
      <w:r>
        <w:rPr>
          <w:u w:val="single"/>
        </w:rPr>
        <w:t>Term</w:t>
      </w:r>
      <w:r>
        <w:rPr/>
        <w:t>.  This Agreement shall begin on the date first written above and shall continue as long as G-P or its affiliates own the Sawmill, subject, however, to termination in accordance with subsections 3.2 and 3.3.</w:t>
      </w:r>
    </w:p>
    <w:p>
      <w:pPr>
        <w:pStyle w:val="EnvelopeReturn"/>
        <w:tabs>
          <w:tab w:val="clear" w:pos="720"/>
          <w:tab w:val="left" w:pos="1290" w:leader="none"/>
          <w:tab w:val="left" w:pos="2010" w:leader="none"/>
          <w:tab w:val="left" w:pos="2730" w:leader="none"/>
          <w:tab w:val="left" w:pos="4750" w:leader="none"/>
          <w:tab w:val="left" w:pos="6760" w:leader="none"/>
          <w:tab w:val="left" w:pos="9360" w:leader="none"/>
        </w:tabs>
        <w:rPr>
          <w:rFonts w:ascii="Arial" w:hAnsi="Arial" w:cs="Arial"/>
        </w:rPr>
      </w:pPr>
      <w:r>
        <w:rPr>
          <w:rFonts w:cs="Arial" w:ascii="Arial" w:hAnsi="Arial"/>
        </w:rPr>
      </w:r>
    </w:p>
    <w:p>
      <w:pPr>
        <w:pStyle w:val="EnvelopeReturn"/>
        <w:spacing w:lineRule="auto" w:line="360" w:before="120" w:after="0"/>
        <w:ind w:firstLine="1440" w:end="0"/>
        <w:rPr/>
      </w:pPr>
      <w:r>
        <w:rPr/>
        <w:t>3.2</w:t>
        <w:tab/>
      </w:r>
      <w:r>
        <w:rPr>
          <w:u w:val="single"/>
        </w:rPr>
        <w:t>Termination.</w:t>
      </w:r>
      <w:r>
        <w:rPr/>
        <w:t xml:space="preserve">  This Agreement may be terminated by G-P at any time upon at least six (6) months prior written notice to NewCo.</w:t>
      </w:r>
    </w:p>
    <w:p>
      <w:pPr>
        <w:pStyle w:val="BodyText3"/>
        <w:spacing w:lineRule="auto" w:line="360" w:before="240" w:after="0"/>
        <w:ind w:firstLine="1440" w:end="0"/>
        <w:rPr/>
      </w:pPr>
      <w:r>
        <w:rPr/>
        <w:t>3.3</w:t>
        <w:tab/>
        <w:t>In addition to the above, either party shall have the right to terminate this Agreement for cause by giving written notice to the other party, which termination shall be effective on the date specified in such notice, in accordance with this Agreement, if either of the following occurs:</w:t>
      </w:r>
    </w:p>
    <w:p>
      <w:pPr>
        <w:pStyle w:val="Normal"/>
        <w:jc w:val="both"/>
        <w:rPr>
          <w:rFonts w:ascii="Arial" w:hAnsi="Arial" w:cs="Arial"/>
        </w:rPr>
      </w:pPr>
      <w:r>
        <w:rPr>
          <w:rFonts w:cs="Arial" w:ascii="Arial" w:hAnsi="Arial"/>
        </w:rPr>
      </w:r>
    </w:p>
    <w:p>
      <w:pPr>
        <w:pStyle w:val="BodyTextIndent"/>
        <w:tabs>
          <w:tab w:val="clear" w:pos="1340"/>
          <w:tab w:val="left" w:pos="1980" w:leader="none"/>
        </w:tabs>
        <w:spacing w:lineRule="auto" w:line="360"/>
        <w:ind w:hanging="547" w:start="1987" w:end="0"/>
        <w:jc w:val="both"/>
        <w:rPr/>
      </w:pPr>
      <w:r>
        <w:rPr/>
        <w:t>(a)</w:t>
        <w:tab/>
        <w:t>The other party fails to comply with any material provision of this Agreement and fails to remedy or cure such failure within sixty (60) days after its receipt of written notice of such failure, or if such failure cannot be remedied or cured within such sixty (60) day period, if the other party does not commence to correct such failure within such sixty (60) day period and thereafter diligently prosecute the correction of such failure to completion within a reasonable time; except in the event the failure to comply relates to a failure to make timely payment, in which event, the failing party shall have ten (10) days after its receipt of written notice of such failure to remedy or cure such failure; provided, however, that neither contesting in good faith the quality of the Support Services nor the withholding of amounts owed under Article 4 hereof in connection with a good faith dispute concerning the Support Services shall be considered a failure to comply with a material provision for purposes of this subsection; or</w:t>
      </w:r>
    </w:p>
    <w:p>
      <w:pPr>
        <w:pStyle w:val="Normal"/>
        <w:ind w:start="720" w:end="0"/>
        <w:jc w:val="both"/>
        <w:rPr>
          <w:rFonts w:ascii="Arial" w:hAnsi="Arial" w:cs="Arial"/>
        </w:rPr>
      </w:pPr>
      <w:r>
        <w:rPr>
          <w:rFonts w:cs="Arial" w:ascii="Arial" w:hAnsi="Arial"/>
        </w:rPr>
      </w:r>
    </w:p>
    <w:p>
      <w:pPr>
        <w:pStyle w:val="BodyText3"/>
        <w:spacing w:lineRule="auto" w:line="360" w:before="120" w:after="0"/>
        <w:ind w:hanging="540" w:start="1980" w:end="0"/>
        <w:rPr/>
      </w:pPr>
      <w:r>
        <w:rPr/>
        <w:t>(b)</w:t>
        <w:tab/>
        <w:t>The other party becomes insolvent or otherwise unable to pay its debts as they mature, or a petition under federal or state bankruptcy or receivership laws is filed by or against the other party which is not dismissed within sixty (60) days after its filing.</w:t>
      </w:r>
    </w:p>
    <w:p>
      <w:pPr>
        <w:pStyle w:val="BodyText3"/>
        <w:spacing w:lineRule="auto" w:line="360" w:before="120" w:after="0"/>
        <w:ind w:firstLine="720" w:end="0"/>
        <w:rPr/>
      </w:pPr>
      <w:r>
        <w:rPr/>
        <w:t>3.4</w:t>
        <w:tab/>
        <w:t>Termination under the provisions of this Article 3 shall be without prejudice to the rights of the parties with respect to any previous failure to comply, and shall give the terminating party the right to exercise any of its other rights or remedies at law or equity.  Upon expiration or termination of this Agreement, all amounts due from G-P to NewCo pursuant to this Agreement shall become immediately due and payable.</w:t>
      </w:r>
    </w:p>
    <w:p>
      <w:pPr>
        <w:pStyle w:val="BodyText3"/>
        <w:keepNext w:val="true"/>
        <w:keepLines/>
        <w:spacing w:lineRule="auto" w:line="360" w:before="120" w:after="0"/>
        <w:jc w:val="center"/>
        <w:rPr>
          <w:b/>
          <w:u w:val="single"/>
        </w:rPr>
      </w:pPr>
      <w:r>
        <w:rPr>
          <w:b/>
          <w:u w:val="single"/>
        </w:rPr>
        <w:t>ARTICLE 4 - CHARGES FOR SUPPORT SERVICES</w:t>
      </w:r>
    </w:p>
    <w:p>
      <w:pPr>
        <w:pStyle w:val="BodyText3"/>
        <w:keepNext w:val="true"/>
        <w:keepLines/>
        <w:numPr>
          <w:ilvl w:val="1"/>
          <w:numId w:val="3"/>
        </w:numPr>
        <w:tabs>
          <w:tab w:val="clear" w:pos="720"/>
        </w:tabs>
        <w:spacing w:lineRule="auto" w:line="360" w:before="120" w:after="0"/>
        <w:ind w:firstLine="720" w:start="0" w:end="0"/>
        <w:rPr/>
      </w:pPr>
      <w:r>
        <w:rPr/>
        <w:t>G-P shall pay or reimburse NewCo for Support Services on the basis of the charges set forth in Schedule I.</w:t>
      </w:r>
    </w:p>
    <w:p>
      <w:pPr>
        <w:pStyle w:val="BodyText3"/>
        <w:numPr>
          <w:ilvl w:val="1"/>
          <w:numId w:val="3"/>
        </w:numPr>
        <w:tabs>
          <w:tab w:val="clear" w:pos="720"/>
        </w:tabs>
        <w:spacing w:lineRule="auto" w:line="360" w:before="120" w:after="0"/>
        <w:ind w:firstLine="720" w:start="0" w:end="0"/>
        <w:rPr/>
      </w:pPr>
      <w:r>
        <w:rPr/>
        <w:t>In no event shall G-P be responsible for costs arising from:  (a) severance payments provided to employees of the party performing services; or (b) other matters of any nature associated with the provision of Support Services, except as otherwise provided in this Agreement.</w:t>
      </w:r>
    </w:p>
    <w:p>
      <w:pPr>
        <w:pStyle w:val="BodyText3"/>
        <w:numPr>
          <w:ilvl w:val="1"/>
          <w:numId w:val="3"/>
        </w:numPr>
        <w:tabs>
          <w:tab w:val="clear" w:pos="720"/>
        </w:tabs>
        <w:spacing w:lineRule="auto" w:line="360" w:before="120" w:after="0"/>
        <w:ind w:firstLine="720" w:start="0" w:end="0"/>
        <w:rPr/>
      </w:pPr>
      <w:r>
        <w:rPr/>
        <w:t>NewCo will promptly invoice G-P for the charges described in Schedule I with respect to each calendar month.  Payment will be made by G-P promptly after receipt of such invoice, but in no event more than thirty (30) days after receipt.</w:t>
      </w:r>
    </w:p>
    <w:p>
      <w:pPr>
        <w:pStyle w:val="BodyText3"/>
        <w:spacing w:lineRule="auto" w:line="360" w:before="120" w:after="0"/>
        <w:jc w:val="center"/>
        <w:rPr>
          <w:b/>
          <w:u w:val="single"/>
        </w:rPr>
      </w:pPr>
      <w:r>
        <w:rPr>
          <w:b/>
          <w:u w:val="single"/>
        </w:rPr>
        <w:t>ARTICLE 5 – LIMITATION OF PARTIES’ LIABILITY</w:t>
      </w:r>
    </w:p>
    <w:p>
      <w:pPr>
        <w:pStyle w:val="BodyText3"/>
        <w:spacing w:lineRule="auto" w:line="360" w:before="120" w:after="0"/>
        <w:rPr/>
      </w:pPr>
      <w:r>
        <w:rPr/>
        <w:tab/>
        <w:t>5.1</w:t>
        <w:tab/>
        <w:t>NEWCO MAKES NO WARRANTY REGARDING THE SUPPORT SERVICES IT PROVIDES, AND EACH PARTY DISCLAIMS ALL WARRANTIES, INCLUDING THE IMPLIED WARRANTIES OF MERCHANTABILITY AND FITNESS FOR PARTICULAR PURPOSE, WITH RESPECT TO SUPPORT SERVICES.</w:t>
      </w:r>
    </w:p>
    <w:p>
      <w:pPr>
        <w:pStyle w:val="BodyText3"/>
        <w:spacing w:lineRule="auto" w:line="360" w:before="120" w:after="0"/>
        <w:ind w:firstLine="720" w:end="0"/>
        <w:rPr/>
      </w:pPr>
      <w:r>
        <w:rPr/>
        <w:t>5.2</w:t>
        <w:tab/>
        <w:t>NewCo’s obligation to G-P hereunder shall be that of an independent contractor.</w:t>
      </w:r>
    </w:p>
    <w:p>
      <w:pPr>
        <w:pStyle w:val="Heading6"/>
        <w:keepNext w:val="false"/>
        <w:ind w:hanging="0" w:start="0"/>
        <w:jc w:val="start"/>
        <w:rPr/>
      </w:pPr>
      <w:r>
        <w:rPr/>
      </w:r>
    </w:p>
    <w:p>
      <w:pPr>
        <w:pStyle w:val="Heading6"/>
        <w:keepNext w:val="false"/>
        <w:ind w:hanging="0" w:start="0"/>
        <w:rPr>
          <w:rFonts w:ascii="Times New Roman" w:hAnsi="Times New Roman" w:cs="Times New Roman"/>
        </w:rPr>
      </w:pPr>
      <w:r>
        <w:rPr>
          <w:rFonts w:cs="Times New Roman" w:ascii="Times New Roman" w:hAnsi="Times New Roman"/>
        </w:rPr>
        <w:t>ARTICLE 6 – EXPANSION AND DIVESTITURES</w:t>
      </w:r>
    </w:p>
    <w:p>
      <w:pPr>
        <w:pStyle w:val="Normal"/>
        <w:jc w:val="both"/>
        <w:rPr>
          <w:rFonts w:ascii="Times New Roman" w:hAnsi="Times New Roman" w:cs="Times New Roman"/>
        </w:rPr>
      </w:pPr>
      <w:r>
        <w:rPr>
          <w:rFonts w:cs="Times New Roman"/>
        </w:rPr>
      </w:r>
    </w:p>
    <w:p>
      <w:pPr>
        <w:pStyle w:val="BodyText3"/>
        <w:spacing w:lineRule="auto" w:line="360" w:before="120" w:after="0"/>
        <w:ind w:firstLine="720" w:end="0"/>
        <w:rPr/>
      </w:pPr>
      <w:r>
        <w:rPr/>
        <w:t>In the event that NewCo sells, leases or otherwise divests, or causes to be sold, leased or otherwise divested, directly or indirectly, the Leaf River Mill, NewCo will require the  purchaser or operator of the Leaf River Mill to assume NewCo’s obligations under this Agreement and the purchaser’s or operator’s acquisition of the Leaf River Mill will be subject to this Agreement.</w:t>
      </w:r>
    </w:p>
    <w:p>
      <w:pPr>
        <w:pStyle w:val="BodyText3"/>
        <w:keepNext w:val="true"/>
        <w:keepLines/>
        <w:spacing w:lineRule="auto" w:line="360" w:before="240" w:after="0"/>
        <w:jc w:val="center"/>
        <w:rPr>
          <w:b/>
          <w:u w:val="single"/>
        </w:rPr>
      </w:pPr>
      <w:r>
        <w:rPr>
          <w:b/>
          <w:u w:val="single"/>
        </w:rPr>
        <w:t>ARTICLE 7 – FORCE MAJEURE</w:t>
      </w:r>
    </w:p>
    <w:p>
      <w:pPr>
        <w:pStyle w:val="BodyTextIndent2"/>
        <w:spacing w:lineRule="auto" w:line="360"/>
        <w:rPr>
          <w:b/>
          <w:u w:val="single"/>
        </w:rPr>
      </w:pPr>
      <w:r>
        <w:rPr>
          <w:b/>
          <w:u w:val="single"/>
        </w:rPr>
      </w:r>
    </w:p>
    <w:p>
      <w:pPr>
        <w:pStyle w:val="BodyTextIndent2"/>
        <w:spacing w:lineRule="auto" w:line="360"/>
        <w:rPr/>
      </w:pPr>
      <w:r>
        <w:rPr/>
        <w:t>7.1.</w:t>
        <w:tab/>
        <w:t>An “Event of Force Majeure” as used herein shall mean acts of God, strikes, lock-outs, injunction, acts or failure to act of governmental authorities, wars, riots, fires, floods, explosions, unavailability or shortage of raw material, fuel or power, unavailability of transportation facilities and/or equipment, national emergency and any other causes, whether of the kind herein enumerated or otherwise, not within the control of the party claiming suspension of performance hereunder.</w:t>
      </w:r>
    </w:p>
    <w:p>
      <w:pPr>
        <w:pStyle w:val="Normal"/>
        <w:jc w:val="both"/>
        <w:rPr/>
      </w:pPr>
      <w:r>
        <w:rPr/>
      </w:r>
    </w:p>
    <w:p>
      <w:pPr>
        <w:pStyle w:val="BodyTextIndent2"/>
        <w:keepNext w:val="false"/>
        <w:keepLines w:val="false"/>
        <w:spacing w:lineRule="auto" w:line="360"/>
        <w:rPr/>
      </w:pPr>
      <w:r>
        <w:rPr/>
        <w:t>7.2</w:t>
        <w:tab/>
        <w:t>In the event NewCo or G-P is unable, in whole or in part to carry out its obligations under this Agreement as a result of an Event of Force Majeure, that party’s obligations, as they are affected by such Event of Force Majeure, shall be reduced or suspended during the continuance of the Event of Force Majeure but for no longer period, and the party claiming the Event of Force Majeure shall use all commercially reasonable efforts to remedy such Event of Force Majeure with due diligence.  The party hereto whose obligations are affected by the Event of Force Majeure shall give the other party notice of the Event of Force Majeure as soon as commercially practicable after it occurs.  The party giving notice of the Event of Force Majeure shall further give notice of the time that the Event of Force Majeure is no longer applicable.  Notwithstanding the foregoing, it is understood and agreed that the settlement of strikes, lock-outs or similar labor disputes shall be entirely within the discretion of the party experiencing the strike, lock-out or similar labor dispute.</w:t>
      </w:r>
    </w:p>
    <w:p>
      <w:pPr>
        <w:pStyle w:val="Normal"/>
        <w:jc w:val="both"/>
        <w:rPr>
          <w:u w:val="single"/>
        </w:rPr>
      </w:pPr>
      <w:r>
        <w:rPr>
          <w:u w:val="single"/>
        </w:rPr>
      </w:r>
    </w:p>
    <w:p>
      <w:pPr>
        <w:pStyle w:val="Heading6"/>
        <w:ind w:hanging="0" w:start="0"/>
        <w:rPr>
          <w:rFonts w:ascii="Times New Roman" w:hAnsi="Times New Roman" w:cs="Times New Roman"/>
        </w:rPr>
      </w:pPr>
      <w:r>
        <w:rPr>
          <w:rFonts w:cs="Times New Roman" w:ascii="Times New Roman" w:hAnsi="Times New Roman"/>
        </w:rPr>
        <w:t>ARTICLE 8 - INDEMNIFICATION</w:t>
      </w:r>
    </w:p>
    <w:p>
      <w:pPr>
        <w:pStyle w:val="Normal"/>
        <w:jc w:val="both"/>
        <w:rPr/>
      </w:pPr>
      <w:r>
        <w:rPr/>
        <w:tab/>
      </w:r>
    </w:p>
    <w:p>
      <w:pPr>
        <w:pStyle w:val="BodyTextIndent2"/>
        <w:keepNext w:val="false"/>
        <w:keepLines w:val="false"/>
        <w:spacing w:lineRule="auto" w:line="360"/>
        <w:rPr/>
      </w:pPr>
      <w:r>
        <w:rPr/>
        <w:t>8.1</w:t>
        <w:tab/>
        <w:t>Subject in each case to the terms and conditions otherwise contained in this Agreement, each party shall defend, indemnify and hold harmless the other party, its successors and permitted assigns, joint venturers, related or affiliated companies, its directors, officers, employees and agents from and against any and all losses, costs, expenses, claims, demands, liabilities, suits or actions (including all reasonable expenses and attorneys’ fees) arising out of any failure to comply with a material provision of this Agreement, as well as personal injury (including death) and, in addition, loss of or damage to property.</w:t>
      </w:r>
    </w:p>
    <w:p>
      <w:pPr>
        <w:pStyle w:val="Normal"/>
        <w:jc w:val="both"/>
        <w:rPr/>
      </w:pPr>
      <w:r>
        <w:rPr/>
      </w:r>
    </w:p>
    <w:p>
      <w:pPr>
        <w:pStyle w:val="p0"/>
        <w:widowControl/>
        <w:tabs>
          <w:tab w:val="clear" w:pos="720"/>
        </w:tabs>
        <w:spacing w:lineRule="auto" w:line="360"/>
        <w:rPr>
          <w:lang w:eastAsia="en-CA"/>
        </w:rPr>
      </w:pPr>
      <w:r>
        <w:rPr>
          <w:lang w:eastAsia="en-CA"/>
        </w:rPr>
        <w:tab/>
        <w:t>8.2</w:t>
        <w:tab/>
        <w:t>IN NO EVENT SHALL EITHER PARTY BE LIABLE TO THE OTHER FOR ANY INCIDENTAL, CONSEQUENTIAL, INDIRECT, SPECIAL OR PUNITIVE DAMAGES, OR LOST REVENUES OR PROFITS, ARISING OUT OF OR IN CONNECTION WITH THE PROVISION OF SUPPORT SERVICES, OR THE PERFORMANCE, OR FAILURE TO PERFORM IN ACCORDANCE WITH THIS AGREEMENT.</w:t>
      </w:r>
    </w:p>
    <w:p>
      <w:pPr>
        <w:pStyle w:val="Normal"/>
        <w:jc w:val="both"/>
        <w:rPr>
          <w:lang w:eastAsia="en-CA"/>
        </w:rPr>
      </w:pPr>
      <w:r>
        <w:rPr>
          <w:lang w:eastAsia="en-CA"/>
        </w:rPr>
      </w:r>
    </w:p>
    <w:p>
      <w:pPr>
        <w:pStyle w:val="BodyTextIndent2"/>
        <w:keepNext w:val="false"/>
        <w:keepLines w:val="false"/>
        <w:spacing w:lineRule="auto" w:line="360"/>
        <w:rPr/>
      </w:pPr>
      <w:r>
        <w:rPr/>
        <w:t>8.3</w:t>
        <w:tab/>
        <w:t>No action arising out of this Agreement shall be commenced later than two (2) years after the cause of action has accrued; otherwise such cause of action shall be barred notwithstanding any statutory period of limitations to the contrary.</w:t>
      </w:r>
    </w:p>
    <w:p>
      <w:pPr>
        <w:pStyle w:val="Normal"/>
        <w:jc w:val="both"/>
        <w:rPr/>
      </w:pPr>
      <w:r>
        <w:rPr/>
      </w:r>
    </w:p>
    <w:p>
      <w:pPr>
        <w:pStyle w:val="Normal"/>
        <w:jc w:val="both"/>
        <w:rPr/>
      </w:pPr>
      <w:r>
        <w:rPr/>
      </w:r>
    </w:p>
    <w:p>
      <w:pPr>
        <w:pStyle w:val="Heading6"/>
        <w:keepLines/>
        <w:ind w:hanging="0" w:start="0"/>
        <w:rPr>
          <w:rFonts w:ascii="Times New Roman" w:hAnsi="Times New Roman" w:cs="Times New Roman"/>
        </w:rPr>
      </w:pPr>
      <w:r>
        <w:rPr>
          <w:rFonts w:cs="Times New Roman" w:ascii="Times New Roman" w:hAnsi="Times New Roman"/>
        </w:rPr>
        <w:t>ARTICLE 9 - DISPUTE RESOLUTION</w:t>
      </w:r>
    </w:p>
    <w:p>
      <w:pPr>
        <w:pStyle w:val="Normal"/>
        <w:keepNext w:val="true"/>
        <w:keepLines/>
        <w:jc w:val="both"/>
        <w:rPr/>
      </w:pPr>
      <w:r>
        <w:rPr/>
        <w:tab/>
      </w:r>
    </w:p>
    <w:p>
      <w:pPr>
        <w:pStyle w:val="Normal"/>
        <w:keepNext w:val="true"/>
        <w:keepLines/>
        <w:spacing w:lineRule="auto" w:line="360"/>
        <w:ind w:firstLine="806" w:end="0"/>
        <w:jc w:val="both"/>
        <w:rPr/>
      </w:pPr>
      <w:r>
        <w:rPr/>
        <w:t>9.1</w:t>
        <w:tab/>
        <w:t>The parties will attempt in good faith to resolve any controversy or claim arising out of or relating to this Agreement promptly by negotiations between senior executives of the parties who have authority to settle the controversy (and who do not have direct responsibility for administration of this Agreement).  All documents which are prepared pursuant to the provisions of this Article 9 shall be for settlement purposes and shall not be admissible as evidence in any court or other legal proceeding.</w:t>
      </w:r>
    </w:p>
    <w:p>
      <w:pPr>
        <w:pStyle w:val="Normal"/>
        <w:jc w:val="both"/>
        <w:rPr/>
      </w:pPr>
      <w:r>
        <w:rPr/>
      </w:r>
    </w:p>
    <w:p>
      <w:pPr>
        <w:pStyle w:val="p0"/>
        <w:widowControl/>
        <w:tabs>
          <w:tab w:val="clear" w:pos="720"/>
        </w:tabs>
        <w:spacing w:lineRule="auto" w:line="360"/>
        <w:rPr>
          <w:lang w:eastAsia="en-CA"/>
        </w:rPr>
      </w:pPr>
      <w:r>
        <w:rPr>
          <w:lang w:eastAsia="en-CA"/>
        </w:rPr>
        <w:tab/>
        <w:t>9.2</w:t>
        <w:tab/>
        <w:t>The disputing party shall give the other party written notice of the dispute.  Within twenty (20) days after receipt of said notice, the receiving party shall submit to the other a written response.  The notice and response shall include: (a) a statement of that party’s position and a summary of the evidence and arguments supporting its position; and (b) the name and title of the senior executive who will represent that party.  The senior executives shall meet for negotiations at a mutually agreed time and place within thirty (30) days after the date of the disputing party’s notice and thereafter as often as they reasonably deem necessary, to exchange relevant information and to attempt to resolve the dispute.</w:t>
      </w:r>
    </w:p>
    <w:p>
      <w:pPr>
        <w:pStyle w:val="Normal"/>
        <w:jc w:val="both"/>
        <w:rPr>
          <w:lang w:eastAsia="en-CA"/>
        </w:rPr>
      </w:pPr>
      <w:r>
        <w:rPr>
          <w:lang w:eastAsia="en-CA"/>
        </w:rPr>
      </w:r>
    </w:p>
    <w:p>
      <w:pPr>
        <w:pStyle w:val="p0"/>
        <w:widowControl/>
        <w:tabs>
          <w:tab w:val="clear" w:pos="720"/>
        </w:tabs>
        <w:spacing w:lineRule="auto" w:line="360"/>
        <w:rPr>
          <w:lang w:eastAsia="en-CA"/>
        </w:rPr>
      </w:pPr>
      <w:r>
        <w:rPr>
          <w:lang w:eastAsia="en-CA"/>
        </w:rPr>
        <w:tab/>
        <w:t>9.3</w:t>
        <w:tab/>
        <w:t>If the matter has not been resolved within sixty (60) days after the disputing party’s notice, or if the party receiving such notice will not meet within thirty (30) days, the parties will attempt in good faith to resolve the controversy or claim by mediation in accordance with the Center for Public Resources model procedures for mediation of business/commercial disputes.</w:t>
      </w:r>
    </w:p>
    <w:p>
      <w:pPr>
        <w:pStyle w:val="Normal"/>
        <w:jc w:val="both"/>
        <w:rPr>
          <w:lang w:eastAsia="en-CA"/>
        </w:rPr>
      </w:pPr>
      <w:r>
        <w:rPr>
          <w:lang w:eastAsia="en-CA"/>
        </w:rPr>
      </w:r>
    </w:p>
    <w:p>
      <w:pPr>
        <w:pStyle w:val="p0"/>
        <w:widowControl/>
        <w:spacing w:lineRule="auto" w:line="360"/>
        <w:rPr>
          <w:lang w:eastAsia="en-CA"/>
        </w:rPr>
      </w:pPr>
      <w:r>
        <w:rPr>
          <w:lang w:eastAsia="en-CA"/>
        </w:rPr>
        <w:tab/>
        <w:t>9.4</w:t>
        <w:tab/>
        <w:t>If the matter has not been resolved pursuant to the aforesaid mediation procedure within sixty (60) days after the commencement of such procedure, or if either party will not participate in such mediation, either party will be free to institute legal proceedings exclusively in (a) the State Court of New York, Manhattan, or (b) the United States District Court for the Southern District of New York located in New York, New York.</w:t>
      </w:r>
    </w:p>
    <w:p>
      <w:pPr>
        <w:pStyle w:val="Normal"/>
        <w:jc w:val="both"/>
        <w:rPr>
          <w:lang w:eastAsia="en-CA"/>
        </w:rPr>
      </w:pPr>
      <w:r>
        <w:rPr>
          <w:lang w:eastAsia="en-CA"/>
        </w:rPr>
      </w:r>
    </w:p>
    <w:p>
      <w:pPr>
        <w:pStyle w:val="Normal"/>
        <w:jc w:val="both"/>
        <w:rPr/>
      </w:pPr>
      <w:r>
        <w:rPr/>
        <w:tab/>
        <w:t>9.5</w:t>
        <w:tab/>
        <w:t>All deadlines and locations specified in this Article may be changed by mutual agreement.</w:t>
      </w:r>
    </w:p>
    <w:p>
      <w:pPr>
        <w:pStyle w:val="Normal"/>
        <w:jc w:val="both"/>
        <w:rPr/>
      </w:pPr>
      <w:r>
        <w:rPr/>
      </w:r>
    </w:p>
    <w:p>
      <w:pPr>
        <w:pStyle w:val="BodyText3"/>
        <w:spacing w:lineRule="auto" w:line="360" w:before="120" w:after="0"/>
        <w:ind w:firstLine="720" w:end="0"/>
        <w:rPr/>
      </w:pPr>
      <w:r>
        <w:rPr/>
        <w:t>9.6</w:t>
        <w:tab/>
        <w:t>The procedures specified in this Article shall be the sole and exclusive procedures for the resolution of disputes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Article.  All applicable statutes of limitation shall be tolled while the procedures specified in this Article are pending.  The parties will take such action, if any, required to effectuate such tolling.</w:t>
      </w:r>
    </w:p>
    <w:p>
      <w:pPr>
        <w:pStyle w:val="Heading6"/>
        <w:keepLines/>
        <w:spacing w:before="240" w:after="0"/>
        <w:ind w:hanging="0" w:start="0"/>
        <w:rPr>
          <w:rFonts w:ascii="Times New Roman" w:hAnsi="Times New Roman" w:cs="Times New Roman"/>
        </w:rPr>
      </w:pPr>
      <w:r>
        <w:rPr>
          <w:rFonts w:cs="Times New Roman" w:ascii="Times New Roman" w:hAnsi="Times New Roman"/>
        </w:rPr>
        <w:t>ARTICLE 10 - NOTICES</w:t>
      </w:r>
    </w:p>
    <w:p>
      <w:pPr>
        <w:pStyle w:val="Normal"/>
        <w:keepNext w:val="true"/>
        <w:keepLines/>
        <w:jc w:val="both"/>
        <w:rPr>
          <w:rFonts w:ascii="Times New Roman" w:hAnsi="Times New Roman" w:cs="Times New Roman"/>
        </w:rPr>
      </w:pPr>
      <w:r>
        <w:rPr>
          <w:rFonts w:cs="Times New Roman"/>
        </w:rPr>
      </w:r>
    </w:p>
    <w:p>
      <w:pPr>
        <w:pStyle w:val="p0"/>
        <w:keepNext w:val="true"/>
        <w:keepLines/>
        <w:widowControl/>
        <w:tabs>
          <w:tab w:val="clear" w:pos="720"/>
        </w:tabs>
        <w:spacing w:lineRule="auto" w:line="360"/>
        <w:rPr>
          <w:lang w:eastAsia="en-CA"/>
        </w:rPr>
      </w:pPr>
      <w:r>
        <w:rPr>
          <w:lang w:eastAsia="en-CA"/>
        </w:rPr>
        <w:tab/>
        <w:t xml:space="preserve">Any notices permitted or required to be given by either party to the other pursuant to this Agreement or related hereto shall be in writing and be sent by overnight courier service or Certified U.S. Mail (return receipt requested) postage prepaid, addressed as shown below, unless otherwise specified in this Agreement, or to such other address as may be designated in writing hereafter for itself by either party.  </w:t>
      </w:r>
    </w:p>
    <w:p>
      <w:pPr>
        <w:pStyle w:val="Normal"/>
        <w:jc w:val="both"/>
        <w:rPr>
          <w:lang w:eastAsia="en-CA"/>
        </w:rPr>
      </w:pPr>
      <w:r>
        <w:rPr>
          <w:lang w:eastAsia="en-CA"/>
        </w:rPr>
      </w:r>
    </w:p>
    <w:p>
      <w:pPr>
        <w:pStyle w:val="Normal"/>
        <w:jc w:val="both"/>
        <w:rPr>
          <w:u w:val="single"/>
        </w:rPr>
      </w:pPr>
      <w:r>
        <w:rPr/>
        <w:tab/>
        <w:tab/>
        <w:t>If to NewCo:                NewCo, LLC</w:t>
      </w:r>
    </w:p>
    <w:p>
      <w:pPr>
        <w:pStyle w:val="Normal"/>
        <w:ind w:start="3600" w:end="0"/>
        <w:jc w:val="both"/>
        <w:rPr/>
      </w:pPr>
      <w:r>
        <w:rPr/>
        <w:t xml:space="preserve">Attn:  </w:t>
      </w:r>
      <w:r>
        <w:rPr>
          <w:u w:val="single"/>
        </w:rPr>
        <w:tab/>
        <w:tab/>
        <w:tab/>
        <w:tab/>
      </w:r>
    </w:p>
    <w:p>
      <w:pPr>
        <w:pStyle w:val="Normal"/>
        <w:ind w:start="3600" w:end="0"/>
        <w:jc w:val="both"/>
        <w:rPr/>
      </w:pPr>
      <w:r>
        <w:rPr/>
        <w:t>1400 Smith Street</w:t>
      </w:r>
    </w:p>
    <w:p>
      <w:pPr>
        <w:pStyle w:val="Normal"/>
        <w:ind w:firstLine="720" w:start="2880" w:end="0"/>
        <w:jc w:val="both"/>
        <w:rPr/>
      </w:pPr>
      <w:r>
        <w:rPr/>
        <w:t>Houston, TX 77002</w:t>
      </w:r>
    </w:p>
    <w:p>
      <w:pPr>
        <w:pStyle w:val="Normal"/>
        <w:ind w:start="3600" w:end="0"/>
        <w:jc w:val="both"/>
        <w:rPr/>
      </w:pPr>
      <w:r>
        <w:rPr/>
      </w:r>
    </w:p>
    <w:p>
      <w:pPr>
        <w:pStyle w:val="Normal"/>
        <w:jc w:val="both"/>
        <w:rPr/>
      </w:pPr>
      <w:r>
        <w:rPr/>
      </w:r>
    </w:p>
    <w:p>
      <w:pPr>
        <w:pStyle w:val="Normal"/>
        <w:jc w:val="both"/>
        <w:rPr/>
      </w:pPr>
      <w:r>
        <w:rPr/>
        <w:tab/>
        <w:tab/>
        <w:t>If to G-P:</w:t>
        <w:tab/>
        <w:tab/>
        <w:t>Georgia-Pacific Corporation</w:t>
      </w:r>
    </w:p>
    <w:p>
      <w:pPr>
        <w:pStyle w:val="Normal"/>
        <w:ind w:firstLine="720" w:start="2880" w:end="0"/>
        <w:jc w:val="both"/>
        <w:rPr/>
      </w:pPr>
      <w:r>
        <w:rPr/>
        <w:t>ATTN:</w:t>
        <w:tab/>
        <w:t xml:space="preserve"> General Counsel</w:t>
      </w:r>
    </w:p>
    <w:p>
      <w:pPr>
        <w:pStyle w:val="Normal"/>
        <w:ind w:start="3600" w:end="0"/>
        <w:jc w:val="both"/>
        <w:rPr/>
      </w:pPr>
      <w:r>
        <w:rPr/>
        <w:t>133 Peachtree Street, N.E.</w:t>
      </w:r>
    </w:p>
    <w:p>
      <w:pPr>
        <w:pStyle w:val="Normal"/>
        <w:ind w:start="3600" w:end="0"/>
        <w:jc w:val="both"/>
        <w:rPr/>
      </w:pPr>
      <w:r>
        <w:rPr/>
        <w:t>Atlanta, GA  30303</w:t>
      </w:r>
    </w:p>
    <w:p>
      <w:pPr>
        <w:pStyle w:val="Normal"/>
        <w:jc w:val="both"/>
        <w:rPr/>
      </w:pPr>
      <w:r>
        <w:rPr/>
        <w:tab/>
        <w:tab/>
        <w:tab/>
        <w:tab/>
        <w:tab/>
      </w:r>
    </w:p>
    <w:p>
      <w:pPr>
        <w:pStyle w:val="Normal"/>
        <w:jc w:val="both"/>
        <w:rPr/>
      </w:pPr>
      <w:r>
        <w:rPr/>
      </w:r>
    </w:p>
    <w:p>
      <w:pPr>
        <w:pStyle w:val="Heading6"/>
        <w:ind w:hanging="0" w:start="0"/>
        <w:rPr>
          <w:rFonts w:ascii="Times New Roman" w:hAnsi="Times New Roman" w:cs="Times New Roman"/>
        </w:rPr>
      </w:pPr>
      <w:r>
        <w:rPr>
          <w:rFonts w:cs="Times New Roman" w:ascii="Times New Roman" w:hAnsi="Times New Roman"/>
        </w:rPr>
        <w:t>ARTICLE 11 - ASSIGNMENT</w:t>
      </w:r>
    </w:p>
    <w:p>
      <w:pPr>
        <w:pStyle w:val="Normal"/>
        <w:jc w:val="both"/>
        <w:rPr>
          <w:rFonts w:ascii="Times New Roman" w:hAnsi="Times New Roman" w:cs="Times New Roman"/>
        </w:rPr>
      </w:pPr>
      <w:r>
        <w:rPr>
          <w:rFonts w:cs="Times New Roman"/>
        </w:rPr>
      </w:r>
    </w:p>
    <w:p>
      <w:pPr>
        <w:pStyle w:val="Normal"/>
        <w:spacing w:lineRule="auto" w:line="360"/>
        <w:jc w:val="both"/>
        <w:rPr/>
      </w:pPr>
      <w:r>
        <w:rPr/>
        <w:tab/>
        <w:t>Except as provided in Article 6 and as hereinafter provided, this Agreement may not be assigned by either party without the prior written consent of the other party, which consent shall not unreasonably be withheld or delayed, and shall be binding upon and inure to the benefit of each party’s successors and permissible assigns; provided, this Agreement may be assigned without consent to a subsidiary, parent corporation or affiliate of either party, or to a purchaser of substantially all of the assets, or all of the outstanding capital stock, of either party, or to either of the parties’ lenders for collateral purposes only, under any applicable credit facility or similar arrangement. Notwithstanding the foregoing, this Agreement shall automatically be binding upon and inure to the benefit of each party’s successors, including, without limitation, the purchaser of all or substantially all of the assets, or all of the outstanding capital stock, of either party.</w:t>
      </w:r>
      <w:r>
        <w:rPr>
          <w:rFonts w:cs="Arial" w:ascii="Arial" w:hAnsi="Arial"/>
        </w:rPr>
        <w:t xml:space="preserve"> </w:t>
      </w:r>
      <w:r>
        <w:rPr/>
        <w:t>In the event of any permitted assignment, such assignment shall not release the assignor from continuing liability hereunder unless mutually agreed in writing.  Each party seeking to make an assignment permitted as specified above shall give the other party as much advance written notice of the effective date of such assignment as practical, and such notice shall identify the name, address, telephone number and contact person of the assignee.</w:t>
      </w:r>
    </w:p>
    <w:p>
      <w:pPr>
        <w:pStyle w:val="Normal"/>
        <w:jc w:val="both"/>
        <w:rPr/>
      </w:pPr>
      <w:r>
        <w:rPr/>
      </w:r>
    </w:p>
    <w:p>
      <w:pPr>
        <w:pStyle w:val="Heading6"/>
        <w:ind w:hanging="0" w:start="0"/>
        <w:rPr>
          <w:rFonts w:ascii="Times New Roman" w:hAnsi="Times New Roman" w:cs="Times New Roman"/>
        </w:rPr>
      </w:pPr>
      <w:r>
        <w:rPr>
          <w:rFonts w:cs="Times New Roman" w:ascii="Times New Roman" w:hAnsi="Times New Roman"/>
        </w:rPr>
        <w:t>ARTICLE 12 – WAIVER; AMENDMENT</w:t>
      </w:r>
    </w:p>
    <w:p>
      <w:pPr>
        <w:pStyle w:val="Normal"/>
        <w:jc w:val="both"/>
        <w:rPr>
          <w:rFonts w:ascii="Times New Roman" w:hAnsi="Times New Roman" w:cs="Times New Roman"/>
        </w:rPr>
      </w:pPr>
      <w:r>
        <w:rPr>
          <w:rFonts w:cs="Times New Roman"/>
        </w:rPr>
      </w:r>
    </w:p>
    <w:p>
      <w:pPr>
        <w:pStyle w:val="p0"/>
        <w:widowControl/>
        <w:numPr>
          <w:ilvl w:val="1"/>
          <w:numId w:val="2"/>
        </w:numPr>
        <w:tabs>
          <w:tab w:val="clear" w:pos="720"/>
        </w:tabs>
        <w:spacing w:lineRule="auto" w:line="360"/>
        <w:ind w:firstLine="720" w:start="0" w:end="0"/>
        <w:rPr>
          <w:lang w:eastAsia="en-CA"/>
        </w:rPr>
      </w:pPr>
      <w:r>
        <w:rPr>
          <w:lang w:eastAsia="en-CA"/>
        </w:rPr>
        <w:t>No waiver by either G-P or NewCo may occur with respect to any breach or default of or with respect to any provision of this Agreement, and no course of dealing shall be deemed to constitute a waiver of any other breach or default of or with respect to the same or any other provision or condition of this Agreement, unless such waiver is expressed in writing signed by the party(ies) to be bound.</w:t>
      </w:r>
    </w:p>
    <w:p>
      <w:pPr>
        <w:pStyle w:val="p0"/>
        <w:widowControl/>
        <w:numPr>
          <w:ilvl w:val="1"/>
          <w:numId w:val="2"/>
        </w:numPr>
        <w:tabs>
          <w:tab w:val="clear" w:pos="720"/>
        </w:tabs>
        <w:spacing w:lineRule="auto" w:line="360" w:before="240" w:after="0"/>
        <w:ind w:firstLine="720" w:start="0" w:end="0"/>
        <w:rPr>
          <w:lang w:eastAsia="en-CA"/>
        </w:rPr>
      </w:pPr>
      <w:r>
        <w:rPr>
          <w:lang w:eastAsia="en-CA"/>
        </w:rPr>
        <w:t>This Agreement may be altered or amended only by an instrument in writing duly executed by both NewCo and G-P.</w:t>
      </w:r>
    </w:p>
    <w:p>
      <w:pPr>
        <w:pStyle w:val="Normal"/>
        <w:jc w:val="both"/>
        <w:rPr>
          <w:lang w:eastAsia="en-CA"/>
        </w:rPr>
      </w:pPr>
      <w:r>
        <w:rPr>
          <w:lang w:eastAsia="en-CA"/>
        </w:rPr>
      </w:r>
    </w:p>
    <w:p>
      <w:pPr>
        <w:pStyle w:val="Heading6"/>
        <w:ind w:hanging="0" w:start="0"/>
        <w:rPr>
          <w:rFonts w:ascii="Times New Roman" w:hAnsi="Times New Roman" w:cs="Times New Roman"/>
        </w:rPr>
      </w:pPr>
      <w:r>
        <w:rPr>
          <w:rFonts w:cs="Times New Roman" w:ascii="Times New Roman" w:hAnsi="Times New Roman"/>
        </w:rPr>
        <w:t>ARTICLE 13 – CAPTIONS; COUNTERPARTS</w:t>
      </w:r>
    </w:p>
    <w:p>
      <w:pPr>
        <w:pStyle w:val="Normal"/>
        <w:jc w:val="both"/>
        <w:rPr>
          <w:rFonts w:ascii="Times New Roman" w:hAnsi="Times New Roman" w:cs="Times New Roman"/>
        </w:rPr>
      </w:pPr>
      <w:r>
        <w:rPr>
          <w:rFonts w:cs="Times New Roman"/>
        </w:rPr>
      </w:r>
    </w:p>
    <w:p>
      <w:pPr>
        <w:pStyle w:val="p0"/>
        <w:widowControl/>
        <w:tabs>
          <w:tab w:val="clear" w:pos="720"/>
        </w:tabs>
        <w:spacing w:lineRule="auto" w:line="240"/>
        <w:ind w:firstLine="720" w:end="0"/>
        <w:rPr>
          <w:lang w:eastAsia="en-CA"/>
        </w:rPr>
      </w:pPr>
      <w:r>
        <w:rPr>
          <w:lang w:eastAsia="en-CA"/>
        </w:rPr>
        <w:t>13.1</w:t>
        <w:tab/>
        <w:t>Captions are inserted herein for convenience only and are not a part of this Agreement.</w:t>
      </w:r>
    </w:p>
    <w:p>
      <w:pPr>
        <w:pStyle w:val="BodyTextIndent2"/>
        <w:keepNext w:val="false"/>
        <w:keepLines w:val="false"/>
        <w:spacing w:lineRule="auto" w:line="360" w:before="240" w:after="0"/>
        <w:rPr/>
      </w:pPr>
      <w:r>
        <w:rPr/>
        <w:t>13.2</w:t>
        <w:tab/>
        <w:t>This Agreement may be executed in two or more counterparts, each of which shall be deemed an original, but all of which together shall constitute one and the same instrument. This Agreement and any communications, notices and exchanges of information pursuant to this Agreement, including signatures, may be delivered by facsimile and shall be treated in all manner and respects as an original document.</w:t>
      </w:r>
    </w:p>
    <w:p>
      <w:pPr>
        <w:pStyle w:val="Normal"/>
        <w:jc w:val="both"/>
        <w:rPr/>
      </w:pPr>
      <w:r>
        <w:rPr/>
      </w:r>
    </w:p>
    <w:p>
      <w:pPr>
        <w:pStyle w:val="Heading6"/>
        <w:keepLines/>
        <w:ind w:hanging="0" w:start="0"/>
        <w:rPr>
          <w:rFonts w:ascii="Times New Roman" w:hAnsi="Times New Roman" w:cs="Times New Roman"/>
        </w:rPr>
      </w:pPr>
      <w:r>
        <w:rPr>
          <w:rFonts w:cs="Times New Roman" w:ascii="Times New Roman" w:hAnsi="Times New Roman"/>
        </w:rPr>
        <w:t>ARTICLE 14 - MISCELLANEOUS</w:t>
      </w:r>
    </w:p>
    <w:p>
      <w:pPr>
        <w:pStyle w:val="Normal"/>
        <w:keepNext w:val="true"/>
        <w:keepLines/>
        <w:jc w:val="both"/>
        <w:rPr>
          <w:rFonts w:ascii="Times New Roman" w:hAnsi="Times New Roman" w:cs="Times New Roman"/>
        </w:rPr>
      </w:pPr>
      <w:r>
        <w:rPr>
          <w:rFonts w:cs="Times New Roman"/>
        </w:rPr>
      </w:r>
    </w:p>
    <w:p>
      <w:pPr>
        <w:pStyle w:val="BodyTextIndent2"/>
        <w:spacing w:lineRule="auto" w:line="360"/>
        <w:rPr/>
      </w:pPr>
      <w:r>
        <w:rPr/>
        <w:t>14.1</w:t>
        <w:tab/>
        <w:t>The validity, interpretation, and performance of this Agreement shall be governed and construed in accordance with the laws of the State of New York.</w:t>
      </w:r>
    </w:p>
    <w:p>
      <w:pPr>
        <w:pStyle w:val="Normal"/>
        <w:ind w:start="720" w:end="0"/>
        <w:jc w:val="both"/>
        <w:rPr/>
      </w:pPr>
      <w:r>
        <w:rPr/>
      </w:r>
    </w:p>
    <w:p>
      <w:pPr>
        <w:pStyle w:val="BodyTextIndent3"/>
        <w:ind w:firstLine="720" w:start="0" w:end="0"/>
        <w:rPr/>
      </w:pPr>
      <w:r>
        <w:rPr/>
        <w:t>14.2</w:t>
        <w:tab/>
        <w:t>This Agreement constitutes the full understanding of the parties and is a complete and exclusive statement of the terms of their agreement.  Except as provided herein, no conditions, course of dealing, usage of trade, understandings, or agreements purporting to modify, vary, supplement or explain the terms of this Agreement shall be binding unless hereafter made in writing and signed by the party(ies) to be bound, and no modifications shall be effected by the acknowledgment or acceptance of invoices, shipping documents, purchase orders or other forms or documents containing terms at variance with or in addition to those set forth herein.</w:t>
      </w:r>
    </w:p>
    <w:p>
      <w:pPr>
        <w:pStyle w:val="Normal"/>
        <w:ind w:start="720" w:end="0"/>
        <w:jc w:val="both"/>
        <w:rPr/>
      </w:pPr>
      <w:r>
        <w:rPr/>
      </w:r>
    </w:p>
    <w:p>
      <w:pPr>
        <w:pStyle w:val="BodyTextIndent2"/>
        <w:keepNext w:val="false"/>
        <w:keepLines w:val="false"/>
        <w:spacing w:lineRule="auto" w:line="360"/>
        <w:rPr/>
      </w:pPr>
      <w:r>
        <w:rPr/>
        <w:t>14.3</w:t>
        <w:tab/>
        <w:t xml:space="preserve">In the event that particular provision(s) or requirement(s) of this Agreement are in violation of any law or regulation, such provision(s) or requirement(s) shall not be enforced except to the extent they are not in violation of such laws or regulations, and all other provision(s) and requirements of this Agreement shall remain in full force and effect. </w:t>
      </w:r>
    </w:p>
    <w:p>
      <w:pPr>
        <w:pStyle w:val="Normal"/>
        <w:jc w:val="both"/>
        <w:rPr/>
      </w:pPr>
      <w:r>
        <w:rPr/>
      </w:r>
    </w:p>
    <w:p>
      <w:pPr>
        <w:pStyle w:val="p0"/>
        <w:widowControl/>
        <w:tabs>
          <w:tab w:val="clear" w:pos="720"/>
        </w:tabs>
        <w:spacing w:lineRule="auto" w:line="360"/>
        <w:rPr>
          <w:lang w:eastAsia="en-CA"/>
        </w:rPr>
      </w:pPr>
      <w:r>
        <w:rPr>
          <w:lang w:eastAsia="en-CA"/>
        </w:rPr>
        <w:tab/>
      </w:r>
      <w:r>
        <w:br w:type="page"/>
      </w:r>
    </w:p>
    <w:p>
      <w:pPr>
        <w:pStyle w:val="p0"/>
        <w:widowControl/>
        <w:tabs>
          <w:tab w:val="clear" w:pos="720"/>
        </w:tabs>
        <w:spacing w:lineRule="auto" w:line="360"/>
        <w:rPr>
          <w:lang w:eastAsia="en-CA"/>
        </w:rPr>
      </w:pPr>
      <w:r>
        <w:rPr>
          <w:lang w:eastAsia="en-CA"/>
        </w:rPr>
        <w:t>IN WITNESS WHEREOF, the parties have caused this Agreement to be executed by their duly authorized representatives as shown below.</w:t>
      </w:r>
    </w:p>
    <w:p>
      <w:pPr>
        <w:pStyle w:val="Normal"/>
        <w:jc w:val="both"/>
        <w:rPr>
          <w:lang w:eastAsia="en-CA"/>
        </w:rPr>
      </w:pPr>
      <w:r>
        <w:rPr>
          <w:lang w:eastAsia="en-CA"/>
        </w:rPr>
      </w:r>
    </w:p>
    <w:p>
      <w:pPr>
        <w:pStyle w:val="Heading4"/>
        <w:ind w:hanging="0" w:start="0"/>
        <w:jc w:val="both"/>
        <w:rPr>
          <w:rFonts w:ascii="Times New Roman" w:hAnsi="Times New Roman" w:cs="Times New Roman"/>
        </w:rPr>
      </w:pPr>
      <w:r>
        <w:rPr>
          <w:rFonts w:cs="Times New Roman" w:ascii="Times New Roman" w:hAnsi="Times New Roman"/>
        </w:rPr>
        <w:t>NEWCO, LLC</w:t>
        <w:tab/>
        <w:tab/>
        <w:tab/>
        <w:tab/>
        <w:t>GEORGIA-PACIFIC CORPORATION</w:t>
      </w:r>
    </w:p>
    <w:p>
      <w:pPr>
        <w:pStyle w:val="Normal"/>
        <w:jc w:val="both"/>
        <w:rPr>
          <w:rFonts w:ascii="Times New Roman" w:hAnsi="Times New Roman" w:cs="Times New Roman"/>
        </w:rPr>
      </w:pPr>
      <w:r>
        <w:rPr>
          <w:rFonts w:cs="Times New Roman"/>
        </w:rPr>
      </w:r>
    </w:p>
    <w:p>
      <w:pPr>
        <w:pStyle w:val="Normal"/>
        <w:jc w:val="both"/>
        <w:rPr/>
      </w:pPr>
      <w:r>
        <w:rPr/>
      </w:r>
    </w:p>
    <w:p>
      <w:pPr>
        <w:pStyle w:val="Normal"/>
        <w:jc w:val="both"/>
        <w:rPr/>
      </w:pPr>
      <w:r>
        <w:rPr/>
      </w:r>
    </w:p>
    <w:p>
      <w:pPr>
        <w:pStyle w:val="Heading3"/>
        <w:ind w:hanging="0" w:end="0"/>
        <w:jc w:val="both"/>
        <w:rPr>
          <w:rFonts w:ascii="Times New Roman" w:hAnsi="Times New Roman" w:cs="Times New Roman"/>
        </w:rPr>
      </w:pPr>
      <w:r>
        <w:rPr>
          <w:rFonts w:cs="Times New Roman" w:ascii="Times New Roman" w:hAnsi="Times New Roman"/>
        </w:rPr>
        <w:t>By: __________________________</w:t>
        <w:tab/>
        <w:t>By:_____________________________</w:t>
        <w:tab/>
        <w:tab/>
      </w:r>
    </w:p>
    <w:p>
      <w:pPr>
        <w:pStyle w:val="Normal"/>
        <w:jc w:val="both"/>
        <w:rPr>
          <w:rFonts w:ascii="Times New Roman" w:hAnsi="Times New Roman" w:cs="Times New Roman"/>
        </w:rPr>
      </w:pPr>
      <w:r>
        <w:rPr>
          <w:rFonts w:cs="Times New Roman"/>
        </w:rPr>
      </w:r>
    </w:p>
    <w:p>
      <w:pPr>
        <w:pStyle w:val="Heading3"/>
        <w:ind w:hanging="0" w:end="0"/>
        <w:jc w:val="both"/>
        <w:rPr>
          <w:rFonts w:ascii="Times New Roman" w:hAnsi="Times New Roman" w:cs="Times New Roman"/>
        </w:rPr>
      </w:pPr>
      <w:r>
        <w:rPr>
          <w:rFonts w:cs="Times New Roman" w:ascii="Times New Roman" w:hAnsi="Times New Roman"/>
        </w:rPr>
        <w:t>Print Name: ___________________</w:t>
        <w:tab/>
        <w:t>Print Name: ______________________</w:t>
      </w:r>
    </w:p>
    <w:p>
      <w:pPr>
        <w:pStyle w:val="Normal"/>
        <w:jc w:val="both"/>
        <w:rPr>
          <w:rFonts w:ascii="Times New Roman" w:hAnsi="Times New Roman" w:cs="Times New Roman"/>
        </w:rPr>
      </w:pPr>
      <w:r>
        <w:rPr>
          <w:rFonts w:cs="Times New Roman"/>
        </w:rPr>
      </w:r>
    </w:p>
    <w:p>
      <w:pPr>
        <w:pStyle w:val="Heading3"/>
        <w:ind w:hanging="0" w:end="0"/>
        <w:jc w:val="both"/>
        <w:rPr>
          <w:rFonts w:ascii="Times New Roman" w:hAnsi="Times New Roman" w:cs="Times New Roman"/>
        </w:rPr>
      </w:pPr>
      <w:r>
        <w:rPr>
          <w:rFonts w:cs="Times New Roman" w:ascii="Times New Roman" w:hAnsi="Times New Roman"/>
        </w:rPr>
        <w:t>Title: ________________________</w:t>
        <w:tab/>
        <w:t>Title: ___________________________</w:t>
      </w:r>
    </w:p>
    <w:p>
      <w:pPr>
        <w:pStyle w:val="Normal"/>
        <w:jc w:val="both"/>
        <w:rPr>
          <w:rFonts w:ascii="Times New Roman" w:hAnsi="Times New Roman" w:cs="Times New Roman"/>
        </w:rPr>
      </w:pPr>
      <w:r>
        <w:rPr>
          <w:rFonts w:cs="Times New Roman"/>
        </w:rPr>
      </w:r>
    </w:p>
    <w:p>
      <w:pPr>
        <w:pStyle w:val="Heading3"/>
        <w:ind w:hanging="0" w:end="0"/>
        <w:jc w:val="both"/>
        <w:rPr>
          <w:rFonts w:ascii="Times New Roman" w:hAnsi="Times New Roman" w:cs="Times New Roman"/>
        </w:rPr>
      </w:pPr>
      <w:r>
        <w:rPr>
          <w:rFonts w:cs="Times New Roman" w:ascii="Times New Roman" w:hAnsi="Times New Roman"/>
        </w:rPr>
        <w:t>Date: ________________________</w:t>
        <w:tab/>
        <w:t>Date: ___________________________</w:t>
      </w:r>
    </w:p>
    <w:p>
      <w:pPr>
        <w:pStyle w:val="BodyText3"/>
        <w:spacing w:lineRule="auto" w:line="360" w:before="120" w:after="0"/>
        <w:ind w:firstLine="720" w:end="0"/>
        <w:rPr>
          <w:rFonts w:ascii="Times New Roman" w:hAnsi="Times New Roman" w:cs="Times New Roman"/>
        </w:rPr>
      </w:pPr>
      <w:r>
        <w:rPr>
          <w:rFonts w:cs="Times New Roman"/>
        </w:rPr>
      </w:r>
      <w:r>
        <w:br w:type="page"/>
      </w:r>
    </w:p>
    <w:p>
      <w:pPr>
        <w:pStyle w:val="Normal"/>
        <w:jc w:val="center"/>
        <w:rPr>
          <w:b/>
          <w:u w:val="single"/>
        </w:rPr>
      </w:pPr>
      <w:r>
        <w:rPr>
          <w:b/>
          <w:u w:val="single"/>
        </w:rPr>
        <w:t>SCHEDULE I</w:t>
      </w:r>
    </w:p>
    <w:p>
      <w:pPr>
        <w:pStyle w:val="Normal"/>
        <w:jc w:val="center"/>
        <w:rPr>
          <w:b/>
          <w:u w:val="single"/>
        </w:rPr>
      </w:pPr>
      <w:r>
        <w:rPr>
          <w:b/>
          <w:u w:val="single"/>
        </w:rPr>
      </w:r>
    </w:p>
    <w:p>
      <w:pPr>
        <w:pStyle w:val="Normal"/>
        <w:jc w:val="center"/>
        <w:rPr/>
      </w:pPr>
      <w:r>
        <w:rPr/>
        <w:t xml:space="preserve">SERVICES AND UTILITIES TO BE </w:t>
      </w:r>
    </w:p>
    <w:p>
      <w:pPr>
        <w:pStyle w:val="Normal"/>
        <w:jc w:val="center"/>
        <w:rPr/>
      </w:pPr>
      <w:r>
        <w:rPr/>
        <w:t>FURNISHED BY NEWCO TO G-P</w:t>
      </w:r>
    </w:p>
    <w:p>
      <w:pPr>
        <w:pStyle w:val="Normal"/>
        <w:jc w:val="center"/>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558"/>
        <w:gridCol w:w="5346"/>
        <w:gridCol w:w="2952"/>
      </w:tblGrid>
      <w:tr>
        <w:trPr/>
        <w:tc>
          <w:tcPr>
            <w:tcW w:w="558" w:type="dxa"/>
            <w:tcBorders/>
          </w:tcPr>
          <w:p>
            <w:pPr>
              <w:pStyle w:val="Normal"/>
              <w:snapToGrid w:val="false"/>
              <w:rPr/>
            </w:pPr>
            <w:r>
              <w:rPr/>
            </w:r>
          </w:p>
        </w:tc>
        <w:tc>
          <w:tcPr>
            <w:tcW w:w="5346" w:type="dxa"/>
            <w:tcBorders/>
          </w:tcPr>
          <w:p>
            <w:pPr>
              <w:pStyle w:val="Heading1"/>
              <w:ind w:hanging="0" w:start="0"/>
              <w:rPr/>
            </w:pPr>
            <w:r>
              <w:rPr/>
              <w:t>Description</w:t>
            </w:r>
          </w:p>
        </w:tc>
        <w:tc>
          <w:tcPr>
            <w:tcW w:w="2952" w:type="dxa"/>
            <w:tcBorders/>
          </w:tcPr>
          <w:p>
            <w:pPr>
              <w:pStyle w:val="Heading1"/>
              <w:ind w:hanging="0" w:start="0"/>
              <w:rPr/>
            </w:pPr>
            <w:r>
              <w:rPr/>
              <w:t>Charges</w:t>
            </w:r>
          </w:p>
        </w:tc>
      </w:tr>
      <w:tr>
        <w:trPr/>
        <w:tc>
          <w:tcPr>
            <w:tcW w:w="558" w:type="dxa"/>
            <w:tcBorders/>
          </w:tcPr>
          <w:p>
            <w:pPr>
              <w:pStyle w:val="Normal"/>
              <w:snapToGrid w:val="false"/>
              <w:rPr/>
            </w:pPr>
            <w:r>
              <w:rPr/>
            </w:r>
          </w:p>
        </w:tc>
        <w:tc>
          <w:tcPr>
            <w:tcW w:w="5346" w:type="dxa"/>
            <w:tcBorders/>
          </w:tcPr>
          <w:p>
            <w:pPr>
              <w:pStyle w:val="Normal"/>
              <w:snapToGrid w:val="false"/>
              <w:rPr/>
            </w:pPr>
            <w:r>
              <w:rPr/>
            </w:r>
          </w:p>
        </w:tc>
        <w:tc>
          <w:tcPr>
            <w:tcW w:w="2952" w:type="dxa"/>
            <w:tcBorders/>
          </w:tcPr>
          <w:p>
            <w:pPr>
              <w:pStyle w:val="Normal"/>
              <w:snapToGrid w:val="false"/>
              <w:rPr/>
            </w:pPr>
            <w:r>
              <w:rPr/>
            </w:r>
          </w:p>
        </w:tc>
      </w:tr>
      <w:tr>
        <w:trPr/>
        <w:tc>
          <w:tcPr>
            <w:tcW w:w="558" w:type="dxa"/>
            <w:tcBorders/>
          </w:tcPr>
          <w:p>
            <w:pPr>
              <w:pStyle w:val="Normal"/>
              <w:rPr/>
            </w:pPr>
            <w:r>
              <w:rPr/>
              <w:t>1.</w:t>
            </w:r>
          </w:p>
        </w:tc>
        <w:tc>
          <w:tcPr>
            <w:tcW w:w="5346" w:type="dxa"/>
            <w:tcBorders/>
          </w:tcPr>
          <w:p>
            <w:pPr>
              <w:pStyle w:val="Normal"/>
              <w:rPr/>
            </w:pPr>
            <w:r>
              <w:rPr/>
              <w:t>Steam</w:t>
            </w:r>
          </w:p>
        </w:tc>
        <w:tc>
          <w:tcPr>
            <w:tcW w:w="2952" w:type="dxa"/>
            <w:tcBorders/>
          </w:tcPr>
          <w:p>
            <w:pPr>
              <w:pStyle w:val="EnvelopeReturn"/>
              <w:rPr/>
            </w:pPr>
            <w:r>
              <w:rPr/>
              <w:t>$1.179 per mmbtu (the “Base Steam Price”).  The Base Steam Price will be adjusted on January 1 of each year during the Initial Term and the Renewal Term for inflation as measured by changes in the Producer Price Index for all commodities published by the U.S. Department of Labor Bureau of Labor Statistics, or its successor index, with the month of January, 2001, being considered the base year for the purpose of calculating changes</w:t>
            </w:r>
          </w:p>
        </w:tc>
      </w:tr>
      <w:tr>
        <w:trPr/>
        <w:tc>
          <w:tcPr>
            <w:tcW w:w="558" w:type="dxa"/>
            <w:tcBorders/>
          </w:tcPr>
          <w:p>
            <w:pPr>
              <w:pStyle w:val="Normal"/>
              <w:snapToGrid w:val="false"/>
              <w:rPr/>
            </w:pPr>
            <w:r>
              <w:rPr/>
            </w:r>
          </w:p>
        </w:tc>
        <w:tc>
          <w:tcPr>
            <w:tcW w:w="5346" w:type="dxa"/>
            <w:tcBorders/>
          </w:tcPr>
          <w:p>
            <w:pPr>
              <w:pStyle w:val="Normal"/>
              <w:snapToGrid w:val="false"/>
              <w:rPr/>
            </w:pPr>
            <w:r>
              <w:rPr/>
            </w:r>
          </w:p>
        </w:tc>
        <w:tc>
          <w:tcPr>
            <w:tcW w:w="2952" w:type="dxa"/>
            <w:tcBorders/>
          </w:tcPr>
          <w:p>
            <w:pPr>
              <w:pStyle w:val="Normal"/>
              <w:snapToGrid w:val="false"/>
              <w:rPr/>
            </w:pPr>
            <w:r>
              <w:rPr/>
            </w:r>
          </w:p>
        </w:tc>
      </w:tr>
      <w:tr>
        <w:trPr/>
        <w:tc>
          <w:tcPr>
            <w:tcW w:w="558" w:type="dxa"/>
            <w:tcBorders/>
          </w:tcPr>
          <w:p>
            <w:pPr>
              <w:pStyle w:val="Normal"/>
              <w:rPr/>
            </w:pPr>
            <w:r>
              <w:rPr/>
              <w:t>2.</w:t>
            </w:r>
          </w:p>
        </w:tc>
        <w:tc>
          <w:tcPr>
            <w:tcW w:w="5346" w:type="dxa"/>
            <w:tcBorders/>
          </w:tcPr>
          <w:p>
            <w:pPr>
              <w:pStyle w:val="Normal"/>
              <w:rPr/>
            </w:pPr>
            <w:r>
              <w:rPr/>
              <w:t>Process effluent and sanitary sewage</w:t>
            </w:r>
          </w:p>
        </w:tc>
        <w:tc>
          <w:tcPr>
            <w:tcW w:w="2952" w:type="dxa"/>
            <w:tcBorders/>
          </w:tcPr>
          <w:p>
            <w:pPr>
              <w:pStyle w:val="Normal"/>
              <w:rPr/>
            </w:pPr>
            <w:r>
              <w:rPr/>
              <w:t>$500.00 per month, provided chemical nature of discharges does not change.</w:t>
            </w:r>
          </w:p>
        </w:tc>
      </w:tr>
      <w:tr>
        <w:trPr/>
        <w:tc>
          <w:tcPr>
            <w:tcW w:w="558" w:type="dxa"/>
            <w:tcBorders/>
          </w:tcPr>
          <w:p>
            <w:pPr>
              <w:pStyle w:val="Normal"/>
              <w:snapToGrid w:val="false"/>
              <w:rPr/>
            </w:pPr>
            <w:r>
              <w:rPr/>
            </w:r>
          </w:p>
        </w:tc>
        <w:tc>
          <w:tcPr>
            <w:tcW w:w="5346" w:type="dxa"/>
            <w:tcBorders/>
          </w:tcPr>
          <w:p>
            <w:pPr>
              <w:pStyle w:val="Normal"/>
              <w:snapToGrid w:val="false"/>
              <w:rPr/>
            </w:pPr>
            <w:r>
              <w:rPr/>
            </w:r>
          </w:p>
        </w:tc>
        <w:tc>
          <w:tcPr>
            <w:tcW w:w="2952" w:type="dxa"/>
            <w:tcBorders/>
          </w:tcPr>
          <w:p>
            <w:pPr>
              <w:pStyle w:val="Normal"/>
              <w:snapToGrid w:val="false"/>
              <w:rPr/>
            </w:pPr>
            <w:r>
              <w:rPr/>
            </w:r>
          </w:p>
        </w:tc>
      </w:tr>
      <w:tr>
        <w:trPr/>
        <w:tc>
          <w:tcPr>
            <w:tcW w:w="558" w:type="dxa"/>
            <w:tcBorders/>
          </w:tcPr>
          <w:p>
            <w:pPr>
              <w:pStyle w:val="Normal"/>
              <w:rPr/>
            </w:pPr>
            <w:r>
              <w:rPr/>
              <w:t>3.</w:t>
            </w:r>
          </w:p>
        </w:tc>
        <w:tc>
          <w:tcPr>
            <w:tcW w:w="5346" w:type="dxa"/>
            <w:tcBorders/>
          </w:tcPr>
          <w:p>
            <w:pPr>
              <w:pStyle w:val="Normal"/>
              <w:rPr/>
            </w:pPr>
            <w:r>
              <w:rPr/>
              <w:t>Electricity</w:t>
            </w:r>
          </w:p>
        </w:tc>
        <w:tc>
          <w:tcPr>
            <w:tcW w:w="2952" w:type="dxa"/>
            <w:tcBorders/>
          </w:tcPr>
          <w:p>
            <w:pPr>
              <w:pStyle w:val="Normal"/>
              <w:rPr/>
            </w:pPr>
            <w:r>
              <w:rPr/>
              <w:t>$31.20 per MW-hr.  NewCo shall provide electricity hereunder only until the Sawmill obtains electricity from a public utility.</w:t>
            </w:r>
          </w:p>
        </w:tc>
      </w:tr>
      <w:tr>
        <w:trPr/>
        <w:tc>
          <w:tcPr>
            <w:tcW w:w="558" w:type="dxa"/>
            <w:tcBorders/>
          </w:tcPr>
          <w:p>
            <w:pPr>
              <w:pStyle w:val="Normal"/>
              <w:snapToGrid w:val="false"/>
              <w:rPr/>
            </w:pPr>
            <w:r>
              <w:rPr/>
            </w:r>
          </w:p>
        </w:tc>
        <w:tc>
          <w:tcPr>
            <w:tcW w:w="5346" w:type="dxa"/>
            <w:tcBorders/>
          </w:tcPr>
          <w:p>
            <w:pPr>
              <w:pStyle w:val="Normal"/>
              <w:snapToGrid w:val="false"/>
              <w:rPr/>
            </w:pPr>
            <w:r>
              <w:rPr/>
            </w:r>
          </w:p>
        </w:tc>
        <w:tc>
          <w:tcPr>
            <w:tcW w:w="2952" w:type="dxa"/>
            <w:tcBorders/>
          </w:tcPr>
          <w:p>
            <w:pPr>
              <w:pStyle w:val="Normal"/>
              <w:snapToGrid w:val="false"/>
              <w:rPr/>
            </w:pPr>
            <w:r>
              <w:rPr/>
            </w:r>
          </w:p>
        </w:tc>
      </w:tr>
      <w:tr>
        <w:trPr/>
        <w:tc>
          <w:tcPr>
            <w:tcW w:w="558" w:type="dxa"/>
            <w:tcBorders/>
          </w:tcPr>
          <w:p>
            <w:pPr>
              <w:pStyle w:val="Normal"/>
              <w:rPr/>
            </w:pPr>
            <w:r>
              <w:rPr/>
              <w:t>4.</w:t>
            </w:r>
          </w:p>
        </w:tc>
        <w:tc>
          <w:tcPr>
            <w:tcW w:w="5346" w:type="dxa"/>
            <w:tcBorders/>
          </w:tcPr>
          <w:p>
            <w:pPr>
              <w:pStyle w:val="Normal"/>
              <w:rPr/>
            </w:pPr>
            <w:r>
              <w:rPr/>
              <w:t>Scale services</w:t>
            </w:r>
          </w:p>
        </w:tc>
        <w:tc>
          <w:tcPr>
            <w:tcW w:w="2952" w:type="dxa"/>
            <w:tcBorders/>
          </w:tcPr>
          <w:p>
            <w:pPr>
              <w:pStyle w:val="Normal"/>
              <w:rPr/>
            </w:pPr>
            <w:r>
              <w:rPr/>
              <w:t>$0.35 per truckload which is weighed (that is, net of an in and out round-trip constitutes one truckload) by the Leaf River Mill.</w:t>
            </w:r>
          </w:p>
        </w:tc>
      </w:tr>
      <w:tr>
        <w:trPr/>
        <w:tc>
          <w:tcPr>
            <w:tcW w:w="558" w:type="dxa"/>
            <w:tcBorders/>
          </w:tcPr>
          <w:p>
            <w:pPr>
              <w:pStyle w:val="Normal"/>
              <w:snapToGrid w:val="false"/>
              <w:rPr/>
            </w:pPr>
            <w:r>
              <w:rPr/>
            </w:r>
          </w:p>
        </w:tc>
        <w:tc>
          <w:tcPr>
            <w:tcW w:w="5346" w:type="dxa"/>
            <w:tcBorders/>
          </w:tcPr>
          <w:p>
            <w:pPr>
              <w:pStyle w:val="Normal"/>
              <w:snapToGrid w:val="false"/>
              <w:rPr/>
            </w:pPr>
            <w:r>
              <w:rPr/>
            </w:r>
          </w:p>
        </w:tc>
        <w:tc>
          <w:tcPr>
            <w:tcW w:w="2952" w:type="dxa"/>
            <w:tcBorders/>
          </w:tcPr>
          <w:p>
            <w:pPr>
              <w:pStyle w:val="Normal"/>
              <w:snapToGrid w:val="false"/>
              <w:rPr/>
            </w:pPr>
            <w:r>
              <w:rPr/>
            </w:r>
          </w:p>
        </w:tc>
      </w:tr>
      <w:tr>
        <w:trPr/>
        <w:tc>
          <w:tcPr>
            <w:tcW w:w="558" w:type="dxa"/>
            <w:tcBorders/>
          </w:tcPr>
          <w:p>
            <w:pPr>
              <w:pStyle w:val="Normal"/>
              <w:keepNext w:val="true"/>
              <w:keepLines/>
              <w:rPr/>
            </w:pPr>
            <w:r>
              <w:rPr/>
              <w:t>5.</w:t>
            </w:r>
          </w:p>
        </w:tc>
        <w:tc>
          <w:tcPr>
            <w:tcW w:w="5346" w:type="dxa"/>
            <w:tcBorders/>
          </w:tcPr>
          <w:p>
            <w:pPr>
              <w:pStyle w:val="Normal"/>
              <w:keepNext w:val="true"/>
              <w:keepLines/>
              <w:rPr/>
            </w:pPr>
            <w:r>
              <w:rPr/>
              <w:t>Other services</w:t>
            </w:r>
          </w:p>
        </w:tc>
        <w:tc>
          <w:tcPr>
            <w:tcW w:w="2952" w:type="dxa"/>
            <w:tcBorders/>
          </w:tcPr>
          <w:p>
            <w:pPr>
              <w:pStyle w:val="EnvelopeReturn"/>
              <w:keepNext w:val="true"/>
              <w:keepLines/>
              <w:rPr/>
            </w:pPr>
            <w:r>
              <w:rPr/>
              <w:t>Any other services at the Leaf River Mill as reasonably requested by   G-P, at a reasonable cost.</w:t>
            </w:r>
          </w:p>
        </w:tc>
      </w:tr>
    </w:tbl>
    <w:p>
      <w:pPr>
        <w:pStyle w:val="Normal"/>
        <w:keepNext w:val="true"/>
        <w:keepLines/>
        <w:rPr/>
      </w:pPr>
      <w:r>
        <w:rPr/>
      </w:r>
    </w:p>
    <w:p>
      <w:pPr>
        <w:pStyle w:val="Normal"/>
        <w:spacing w:lineRule="auto" w:line="360"/>
        <w:rPr/>
      </w:pPr>
      <w:r>
        <w:rPr/>
        <w:t>Any other direct expenses including, but not limited to, charges, fees, costs outlays incurred by NewCo specifically on behalf of the Sawmill at the request of G-P will be charged directly to G-P at actual cost.</w:t>
      </w:r>
    </w:p>
    <w:p>
      <w:pPr>
        <w:pStyle w:val="Normal"/>
        <w:spacing w:lineRule="auto" w:line="360"/>
        <w:rPr/>
      </w:pPr>
      <w:r>
        <w:rPr/>
      </w:r>
    </w:p>
    <w:p>
      <w:pPr>
        <w:pStyle w:val="Normal"/>
        <w:spacing w:lineRule="auto" w:line="36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286156</w:t>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13</w:t>
    </w:r>
    <w:r>
      <w:rPr>
        <w:rStyle w:val="PageNumber"/>
        <w:sz w:val="16"/>
      </w:rPr>
      <w:fldChar w:fldCharType="end"/>
    </w:r>
    <w:r>
      <w:rPr>
        <w:rStyle w:val="PageNumber"/>
        <w:sz w:val="16"/>
      </w:rPr>
      <w:tab/>
      <w:t>9/13/01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3">
    <w:name w:val="heading 3"/>
    <w:basedOn w:val="Normal"/>
    <w:next w:val="Normal"/>
    <w:qFormat/>
    <w:pPr>
      <w:keepNext w:val="true"/>
      <w:numPr>
        <w:ilvl w:val="2"/>
        <w:numId w:val="1"/>
      </w:numPr>
      <w:ind w:hanging="720" w:start="0" w:end="0"/>
      <w:outlineLvl w:val="2"/>
    </w:pPr>
    <w:rPr>
      <w:rFonts w:ascii="Arial" w:hAnsi="Arial" w:cs="Arial"/>
    </w:rPr>
  </w:style>
  <w:style w:type="paragraph" w:styleId="Heading4">
    <w:name w:val="heading 4"/>
    <w:basedOn w:val="Normal"/>
    <w:next w:val="Normal"/>
    <w:qFormat/>
    <w:pPr>
      <w:keepNext w:val="true"/>
      <w:numPr>
        <w:ilvl w:val="3"/>
        <w:numId w:val="1"/>
      </w:numPr>
      <w:outlineLvl w:val="3"/>
    </w:pPr>
    <w:rPr>
      <w:rFonts w:ascii="Arial" w:hAnsi="Arial" w:cs="Arial"/>
    </w:rPr>
  </w:style>
  <w:style w:type="paragraph" w:styleId="Heading6">
    <w:name w:val="heading 6"/>
    <w:basedOn w:val="Normal"/>
    <w:next w:val="Normal"/>
    <w:qFormat/>
    <w:pPr>
      <w:keepNext w:val="true"/>
      <w:numPr>
        <w:ilvl w:val="5"/>
        <w:numId w:val="1"/>
      </w:numPr>
      <w:jc w:val="center"/>
      <w:outlineLvl w:val="5"/>
    </w:pPr>
    <w:rPr>
      <w:rFonts w:ascii="Arial" w:hAnsi="Arial" w:cs="Arial"/>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u w:val="none"/>
    </w:rPr>
  </w:style>
  <w:style w:type="character" w:styleId="WW8Num14z0">
    <w:name w:val="WW8Num14z0"/>
    <w:qFormat/>
    <w:rPr/>
  </w:style>
  <w:style w:type="character" w:styleId="WW8Num15z0">
    <w:name w:val="WW8Num15z0"/>
    <w:qFormat/>
    <w:rPr>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EnvelopeAddress">
    <w:name w:val="envelope address"/>
    <w:basedOn w:val="Normal"/>
    <w:pPr>
      <w:ind w:hanging="0" w:start="2880" w:end="0"/>
    </w:pPr>
    <w:rPr>
      <w:sz w:val="26"/>
    </w:rPr>
  </w:style>
  <w:style w:type="paragraph" w:styleId="BodyTextIndent">
    <w:name w:val="Body Text Indent"/>
    <w:basedOn w:val="Normal"/>
    <w:pPr>
      <w:tabs>
        <w:tab w:val="clear" w:pos="720"/>
        <w:tab w:val="left" w:pos="1340" w:leader="none"/>
        <w:tab w:val="left" w:pos="1980" w:leader="none"/>
      </w:tabs>
      <w:ind w:firstLine="1296" w:start="0" w:end="0"/>
    </w:pPr>
    <w:rPr/>
  </w:style>
  <w:style w:type="paragraph" w:styleId="BodyTextIndent2">
    <w:name w:val="Body Text Indent 2"/>
    <w:basedOn w:val="Normal"/>
    <w:qFormat/>
    <w:pPr>
      <w:keepNext w:val="true"/>
      <w:keepLines/>
      <w:ind w:firstLine="720" w:start="0" w:end="0"/>
      <w:jc w:val="both"/>
    </w:pPr>
    <w:rPr/>
  </w:style>
  <w:style w:type="paragraph" w:styleId="p0">
    <w:name w:val="p0"/>
    <w:basedOn w:val="Normal"/>
    <w:qFormat/>
    <w:pPr>
      <w:widowControl w:val="false"/>
      <w:tabs>
        <w:tab w:val="left" w:pos="720" w:leader="none"/>
      </w:tabs>
      <w:spacing w:lineRule="atLeast" w:line="240"/>
      <w:jc w:val="both"/>
    </w:pPr>
    <w:rPr>
      <w:lang w:eastAsia="en-US"/>
    </w:rPr>
  </w:style>
  <w:style w:type="paragraph" w:styleId="p01">
    <w:name w:val="p01"/>
    <w:basedOn w:val="Normal"/>
    <w:next w:val="p0"/>
    <w:qFormat/>
    <w:pPr>
      <w:widowControl w:val="false"/>
      <w:tabs>
        <w:tab w:val="left" w:pos="720" w:leader="none"/>
      </w:tabs>
      <w:spacing w:lineRule="atLeast" w:line="240"/>
      <w:jc w:val="both"/>
    </w:pPr>
    <w:rPr>
      <w:lang w:eastAsia="en-US"/>
    </w:rPr>
  </w:style>
  <w:style w:type="paragraph" w:styleId="NormalIndent">
    <w:name w:val="Normal Indent"/>
    <w:basedOn w:val="Normal"/>
    <w:qFormat/>
    <w:pPr>
      <w:ind w:hanging="0" w:start="720" w:end="0"/>
    </w:pPr>
    <w:rPr>
      <w:sz w:val="20"/>
    </w:rPr>
  </w:style>
  <w:style w:type="paragraph" w:styleId="BodyText3">
    <w:name w:val="Body Text 3"/>
    <w:basedOn w:val="Normal"/>
    <w:qFormat/>
    <w:pPr>
      <w:jc w:val="both"/>
    </w:pPr>
    <w:rPr/>
  </w:style>
  <w:style w:type="paragraph" w:styleId="BodyTextIndent3">
    <w:name w:val="Body Text Indent 3"/>
    <w:basedOn w:val="Normal"/>
    <w:qFormat/>
    <w:pPr>
      <w:spacing w:lineRule="auto" w:line="360"/>
      <w:ind w:hanging="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2001-09-14T15:45:00Z</dcterms:created>
  <dc:creator>JBFAUSTI</dc:creator>
  <dc:description/>
  <dc:language>en-CA</dc:language>
  <cp:lastModifiedBy>Tony Rothermel</cp:lastModifiedBy>
  <cp:lastPrinted>2001-09-14T14:42:00Z</cp:lastPrinted>
  <dcterms:modified xsi:type="dcterms:W3CDTF">2001-09-14T16:26:00Z</dcterms:modified>
  <cp:revision>7</cp:revision>
  <dc:subject/>
  <dc:title>LEAF RIVER SERVICES AGREEMENT</dc:title>
</cp:coreProperties>
</file>