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104" w:leader="none"/>
        </w:tabs>
        <w:rPr/>
      </w:pPr>
      <w:r>
        <w:rPr>
          <w:vanish w:val="false"/>
        </w:rPr>
        <w:commentReference w:id="0"/>
      </w:r>
      <w:r>
        <w:rPr/>
        <w:tab/>
      </w:r>
      <w:r>
        <w:rPr>
          <w:b/>
          <w:sz w:val="28"/>
        </w:rPr>
        <w:t>Dabhol Power Project</w:t>
      </w:r>
    </w:p>
    <w:p>
      <w:pPr>
        <w:pStyle w:val="Normal"/>
        <w:rPr/>
      </w:pPr>
      <w:r>
        <w:rPr/>
      </w:r>
    </w:p>
    <w:p>
      <w:pPr>
        <w:pStyle w:val="Normal"/>
        <w:tabs>
          <w:tab w:val="clear" w:pos="720"/>
          <w:tab w:val="center" w:pos="4104" w:leader="none"/>
        </w:tabs>
        <w:ind w:start="-720" w:end="-720"/>
        <w:rPr>
          <w:sz w:val="22"/>
        </w:rPr>
      </w:pPr>
      <w:r>
        <w:rPr/>
        <w:tab/>
      </w:r>
      <w:r>
        <w:rPr>
          <w:b/>
          <w:u w:val="single"/>
        </w:rPr>
        <w:t>Letter of Credit Obligations</w:t>
      </w:r>
    </w:p>
    <w:p>
      <w:pPr>
        <w:pStyle w:val="Normal"/>
        <w:ind w:start="-720" w:end="-720"/>
        <w:jc w:val="center"/>
        <w:rPr>
          <w:sz w:val="22"/>
        </w:rPr>
      </w:pPr>
      <w:r>
        <w:rPr>
          <w:sz w:val="22"/>
        </w:rPr>
      </w:r>
    </w:p>
    <w:p>
      <w:pPr>
        <w:pStyle w:val="Normal"/>
        <w:ind w:start="-720" w:end="-720"/>
        <w:rPr>
          <w:sz w:val="22"/>
        </w:rPr>
      </w:pPr>
      <w:r>
        <w:rPr>
          <w:sz w:val="22"/>
        </w:rPr>
      </w:r>
    </w:p>
    <w:p>
      <w:pPr>
        <w:pStyle w:val="Normal"/>
        <w:ind w:firstLine="720" w:start="-720" w:end="-720"/>
        <w:rPr>
          <w:sz w:val="22"/>
        </w:rPr>
      </w:pPr>
      <w:r>
        <w:rPr>
          <w:sz w:val="22"/>
        </w:rPr>
        <w:t>Following are approximate aggregate amounts of letter of credit obligations of Dabhol Power Company under the project and financing documents in connection with the Dabhol Project.  The letter of credit obligations are separated between sponsor supported letter of credit obligations and project support letter of credit obligations.</w:t>
      </w:r>
    </w:p>
    <w:p>
      <w:pPr>
        <w:pStyle w:val="Normal"/>
        <w:ind w:start="-720" w:end="-720"/>
        <w:rPr>
          <w:sz w:val="22"/>
        </w:rPr>
      </w:pPr>
      <w:r>
        <w:rPr>
          <w:sz w:val="22"/>
        </w:rPr>
      </w:r>
    </w:p>
    <w:p>
      <w:pPr>
        <w:pStyle w:val="Normal"/>
        <w:tabs>
          <w:tab w:val="left" w:pos="-1740" w:leader="none"/>
          <w:tab w:val="left" w:pos="-1440" w:leader="none"/>
          <w:tab w:val="left" w:pos="-720" w:leader="none"/>
          <w:tab w:val="left" w:pos="-18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6930" w:leader="none"/>
          <w:tab w:val="left" w:pos="8640" w:leader="none"/>
        </w:tabs>
        <w:ind w:firstLine="2160" w:start="-720" w:end="-720"/>
        <w:rPr/>
      </w:pPr>
      <w:r>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4320" w:leader="none"/>
          <w:tab w:val="left" w:pos="5040" w:leader="none"/>
          <w:tab w:val="left" w:pos="5400" w:leader="none"/>
          <w:tab w:val="left" w:pos="5940" w:leader="none"/>
          <w:tab w:val="left" w:pos="6750" w:leader="none"/>
          <w:tab w:val="left" w:pos="7920" w:leader="none"/>
        </w:tabs>
        <w:ind w:hanging="5400" w:start="5040" w:end="-720"/>
        <w:rPr/>
      </w:pPr>
      <w:r>
        <w:rPr>
          <w:sz w:val="22"/>
          <w:u w:val="single"/>
        </w:rPr>
        <w:t>Sponsor Support L/C Obligation</w:t>
      </w:r>
      <w:r>
        <w:rPr/>
        <w:tab/>
        <w:tab/>
        <w:tab/>
        <w:tab/>
      </w:r>
      <w:r>
        <w:rPr>
          <w:sz w:val="22"/>
          <w:u w:val="single"/>
        </w:rPr>
        <w:t>Aggregate Amount</w:t>
      </w:r>
      <w:r>
        <w:rPr/>
        <w:tab/>
        <w:tab/>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4320" w:leader="none"/>
          <w:tab w:val="left" w:pos="5040" w:leader="none"/>
          <w:tab w:val="left" w:pos="5400" w:leader="none"/>
          <w:tab w:val="left" w:pos="5940" w:leader="none"/>
          <w:tab w:val="left" w:pos="6750" w:leader="none"/>
          <w:tab w:val="left" w:pos="7920" w:leader="none"/>
        </w:tabs>
        <w:ind w:start="-720" w:end="-720"/>
        <w:rPr/>
      </w:pPr>
      <w:r>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3690" w:leader="none"/>
          <w:tab w:val="left" w:pos="5040" w:leader="none"/>
          <w:tab w:val="left" w:pos="5490" w:leader="none"/>
          <w:tab w:val="left" w:pos="6210" w:leader="none"/>
          <w:tab w:val="left" w:pos="6930" w:leader="none"/>
          <w:tab w:val="left" w:pos="7650" w:leader="none"/>
          <w:tab w:val="left" w:pos="8640" w:leader="none"/>
        </w:tabs>
        <w:ind w:start="-720" w:end="-720"/>
        <w:rPr>
          <w:sz w:val="22"/>
        </w:rPr>
      </w:pPr>
      <w:r>
        <w:rPr>
          <w:sz w:val="22"/>
        </w:rPr>
        <w:t>1.</w:t>
        <w:tab/>
        <w:t>Phase II Debt Reserve Letters of Credit</w:t>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3690" w:leader="none"/>
          <w:tab w:val="left" w:pos="5040" w:leader="none"/>
          <w:tab w:val="left" w:pos="5490" w:leader="none"/>
          <w:tab w:val="left" w:pos="6210" w:leader="none"/>
          <w:tab w:val="left" w:pos="6930" w:leader="none"/>
          <w:tab w:val="left" w:pos="7650" w:leader="none"/>
          <w:tab w:val="left" w:pos="8640" w:leader="none"/>
        </w:tabs>
        <w:ind w:start="-720" w:end="-720"/>
        <w:rPr/>
      </w:pPr>
      <w:r>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3690" w:leader="none"/>
          <w:tab w:val="left" w:pos="5040" w:leader="none"/>
          <w:tab w:val="left" w:pos="5490" w:leader="none"/>
          <w:tab w:val="left" w:pos="6210" w:leader="none"/>
          <w:tab w:val="left" w:pos="6930" w:leader="none"/>
          <w:tab w:val="left" w:pos="7650" w:leader="none"/>
          <w:tab w:val="left" w:pos="8640" w:leader="none"/>
        </w:tabs>
        <w:ind w:firstLine="360" w:start="-720" w:end="-720"/>
        <w:rPr>
          <w:sz w:val="22"/>
        </w:rPr>
      </w:pPr>
      <w:r>
        <w:rPr>
          <w:sz w:val="22"/>
        </w:rPr>
        <w:t>(a) Dollar Debt Reserve Liquidity L/C</w:t>
        <w:tab/>
        <w:tab/>
        <w:tab/>
        <w:tab/>
        <w:t>$65M</w:t>
        <w:tab/>
        <w:tab/>
        <w:tab/>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3690" w:leader="none"/>
          <w:tab w:val="left" w:pos="5040" w:leader="none"/>
          <w:tab w:val="left" w:pos="5490" w:leader="none"/>
          <w:tab w:val="left" w:pos="6210" w:leader="none"/>
          <w:tab w:val="left" w:pos="6930" w:leader="none"/>
          <w:tab w:val="left" w:pos="7650" w:leader="none"/>
          <w:tab w:val="left" w:pos="8640" w:leader="none"/>
        </w:tabs>
        <w:ind w:firstLine="360" w:start="-720" w:end="-720"/>
        <w:rPr/>
      </w:pPr>
      <w:r>
        <w:rPr>
          <w:sz w:val="22"/>
        </w:rPr>
        <w:t xml:space="preserve">      </w:t>
      </w:r>
      <w:r>
        <w:rPr>
          <w:sz w:val="22"/>
        </w:rPr>
        <w:t>(</w:t>
      </w:r>
      <w:r>
        <w:rPr>
          <w:i/>
          <w:sz w:val="22"/>
        </w:rPr>
        <w:t xml:space="preserve">approximately equal to 6 months of Dollar </w:t>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3690" w:leader="none"/>
          <w:tab w:val="left" w:pos="5040" w:leader="none"/>
          <w:tab w:val="left" w:pos="5490" w:leader="none"/>
          <w:tab w:val="left" w:pos="6210" w:leader="none"/>
          <w:tab w:val="left" w:pos="6930" w:leader="none"/>
          <w:tab w:val="left" w:pos="7650" w:leader="none"/>
          <w:tab w:val="left" w:pos="8640" w:leader="none"/>
        </w:tabs>
        <w:ind w:firstLine="360" w:start="-720" w:end="-720"/>
        <w:rPr/>
      </w:pPr>
      <w:r>
        <w:rPr>
          <w:i/>
          <w:sz w:val="22"/>
        </w:rPr>
        <w:t xml:space="preserve">        </w:t>
      </w:r>
      <w:r>
        <w:rPr>
          <w:i/>
          <w:sz w:val="22"/>
        </w:rPr>
        <w:t>debt service payments</w:t>
      </w:r>
      <w:r>
        <w:rPr>
          <w:sz w:val="22"/>
        </w:rPr>
        <w:t>)</w:t>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3690" w:leader="none"/>
          <w:tab w:val="left" w:pos="5040" w:leader="none"/>
          <w:tab w:val="left" w:pos="5490" w:leader="none"/>
          <w:tab w:val="left" w:pos="6210" w:leader="none"/>
          <w:tab w:val="left" w:pos="6930" w:leader="none"/>
          <w:tab w:val="left" w:pos="7650" w:leader="none"/>
          <w:tab w:val="left" w:pos="8640" w:leader="none"/>
        </w:tabs>
        <w:ind w:start="-720" w:end="-720"/>
        <w:rPr/>
      </w:pPr>
      <w:r>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3690" w:leader="none"/>
          <w:tab w:val="left" w:pos="5040" w:leader="none"/>
          <w:tab w:val="left" w:pos="5490" w:leader="none"/>
          <w:tab w:val="left" w:pos="6210" w:leader="none"/>
          <w:tab w:val="left" w:pos="6930" w:leader="none"/>
          <w:tab w:val="left" w:pos="7650" w:leader="none"/>
          <w:tab w:val="left" w:pos="8640" w:leader="none"/>
        </w:tabs>
        <w:ind w:firstLine="360" w:start="-720" w:end="-720"/>
        <w:rPr>
          <w:sz w:val="22"/>
        </w:rPr>
      </w:pPr>
      <w:r>
        <w:rPr>
          <w:sz w:val="22"/>
        </w:rPr>
        <w:t>(b) Rupee Debt Reserve Liquidity L/C</w:t>
        <w:tab/>
        <w:tab/>
        <w:tab/>
        <w:tab/>
        <w:t>$30M</w:t>
        <w:tab/>
        <w:tab/>
        <w:tab/>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3690" w:leader="none"/>
          <w:tab w:val="left" w:pos="5040" w:leader="none"/>
          <w:tab w:val="left" w:pos="5490" w:leader="none"/>
          <w:tab w:val="left" w:pos="6210" w:leader="none"/>
          <w:tab w:val="left" w:pos="6930" w:leader="none"/>
          <w:tab w:val="left" w:pos="7650" w:leader="none"/>
          <w:tab w:val="left" w:pos="8640" w:leader="none"/>
        </w:tabs>
        <w:ind w:firstLine="360" w:start="-720" w:end="-720"/>
        <w:rPr/>
      </w:pPr>
      <w:r>
        <w:rPr>
          <w:sz w:val="22"/>
        </w:rPr>
        <w:t xml:space="preserve">      </w:t>
      </w:r>
      <w:r>
        <w:rPr>
          <w:sz w:val="22"/>
        </w:rPr>
        <w:t>(</w:t>
      </w:r>
      <w:r>
        <w:rPr>
          <w:i/>
          <w:sz w:val="22"/>
        </w:rPr>
        <w:t>approximately equal to 6 months of Rupee</w:t>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3690" w:leader="none"/>
          <w:tab w:val="left" w:pos="5040" w:leader="none"/>
          <w:tab w:val="left" w:pos="5490" w:leader="none"/>
          <w:tab w:val="left" w:pos="6210" w:leader="none"/>
          <w:tab w:val="left" w:pos="6930" w:leader="none"/>
          <w:tab w:val="left" w:pos="7650" w:leader="none"/>
          <w:tab w:val="left" w:pos="8640" w:leader="none"/>
        </w:tabs>
        <w:ind w:firstLine="360" w:start="-720" w:end="-720"/>
        <w:rPr/>
      </w:pPr>
      <w:r>
        <w:rPr>
          <w:i/>
          <w:sz w:val="22"/>
        </w:rPr>
        <w:t xml:space="preserve">        </w:t>
      </w:r>
      <w:r>
        <w:rPr>
          <w:i/>
          <w:sz w:val="22"/>
        </w:rPr>
        <w:t>debt service payments</w:t>
      </w:r>
      <w:r>
        <w:rPr>
          <w:sz w:val="22"/>
        </w:rPr>
        <w:t>)</w:t>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3690" w:leader="none"/>
          <w:tab w:val="left" w:pos="5040" w:leader="none"/>
          <w:tab w:val="left" w:pos="5490" w:leader="none"/>
          <w:tab w:val="left" w:pos="6210" w:leader="none"/>
          <w:tab w:val="left" w:pos="6930" w:leader="none"/>
          <w:tab w:val="left" w:pos="7650" w:leader="none"/>
          <w:tab w:val="left" w:pos="8640" w:leader="none"/>
        </w:tabs>
        <w:ind w:firstLine="360" w:start="-720" w:end="-720"/>
        <w:rPr>
          <w:i/>
          <w:i/>
          <w:sz w:val="22"/>
        </w:rPr>
      </w:pPr>
      <w:r>
        <w:rPr>
          <w:i/>
          <w:sz w:val="22"/>
        </w:rPr>
      </w:r>
    </w:p>
    <w:p>
      <w:pPr>
        <w:pStyle w:val="Normal"/>
        <w:tabs>
          <w:tab w:val="clear" w:pos="720"/>
          <w:tab w:val="left" w:pos="-720"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484" w:leader="none"/>
        </w:tabs>
        <w:ind w:firstLine="576" w:start="-720" w:end="-720"/>
        <w:rPr>
          <w:rFonts w:ascii="CG Times" w:hAnsi="CG Times" w:cs="CG Times"/>
          <w:sz w:val="22"/>
        </w:rPr>
      </w:pPr>
      <w:r>
        <w:rPr>
          <w:rFonts w:cs="CG Times" w:ascii="CG Times" w:hAnsi="CG Times"/>
          <w:sz w:val="22"/>
        </w:rPr>
        <w:t>The Investor will be required to provide 30% of the credit support for the Phase II Liquidity Debt Reserve Letters of Credit.  The Phase II Liquidity Debt Reserve Letters of Credit must be posted upon Entry into Commercial Service of Phase II.  The amount of such letters of credit decreases as cash reserves are accumulated in the various reserve accounts.</w:t>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end="-720"/>
        <w:rPr>
          <w:rFonts w:ascii="CG Times" w:hAnsi="CG Times" w:cs="CG Times"/>
          <w:sz w:val="22"/>
        </w:rPr>
      </w:pPr>
      <w:r>
        <w:rPr>
          <w:rFonts w:cs="CG Times" w:ascii="CG Times" w:hAnsi="CG Times"/>
          <w:sz w:val="22"/>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end="-720"/>
        <w:rPr>
          <w:rFonts w:ascii="CG Times" w:hAnsi="CG Times" w:cs="CG Times"/>
          <w:sz w:val="22"/>
        </w:rPr>
      </w:pPr>
      <w:r>
        <w:rPr>
          <w:rFonts w:cs="CG Times" w:ascii="CG Times" w:hAnsi="CG Times"/>
          <w:sz w:val="22"/>
        </w:rPr>
      </w:r>
    </w:p>
    <w:p>
      <w:pPr>
        <w:pStyle w:val="Normal"/>
        <w:tabs>
          <w:tab w:val="clear" w:pos="720"/>
          <w:tab w:val="left" w:pos="-720"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484" w:leader="none"/>
        </w:tabs>
        <w:ind w:firstLine="576" w:start="-720" w:end="-720"/>
        <w:rPr>
          <w:rFonts w:ascii="CG Times" w:hAnsi="CG Times" w:cs="CG Times"/>
          <w:sz w:val="22"/>
        </w:rPr>
      </w:pPr>
      <w:r>
        <w:rPr>
          <w:rFonts w:cs="CG Times" w:ascii="CG Times" w:hAnsi="CG Times"/>
          <w:sz w:val="22"/>
        </w:rPr>
        <w:t>At any time, DPC shareholders can provide a Collateral Letter of Credit in order to release cash from the Phase II Debt Reserves and/or Fuel Reserve and distribute the cash to shareholders (assuming all other conditions required for distributions of income have been met).  In this case, the Investor will be required to assume a Ratable Proportion of any credit support for such Collateral Letters of Credit.</w:t>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360" w:start="-360" w:end="-720"/>
        <w:rPr>
          <w:rFonts w:ascii="CG Times" w:hAnsi="CG Times" w:cs="CG Times"/>
          <w:sz w:val="22"/>
        </w:rPr>
      </w:pPr>
      <w:r>
        <w:rPr>
          <w:rFonts w:cs="CG Times" w:ascii="CG Times" w:hAnsi="CG Times"/>
          <w:sz w:val="22"/>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360" w:start="-360" w:end="-720"/>
        <w:rPr/>
      </w:pPr>
      <w:r>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360" w:start="-360" w:end="-720"/>
        <w:rPr/>
      </w:pPr>
      <w:r>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360" w:start="-360" w:end="-720"/>
        <w:rPr/>
      </w:pPr>
      <w:r>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5400" w:start="5040" w:end="-720"/>
        <w:rPr>
          <w:sz w:val="22"/>
        </w:rPr>
      </w:pPr>
      <w:r>
        <w:rPr>
          <w:sz w:val="22"/>
          <w:u w:val="single"/>
        </w:rPr>
        <w:t>Dabhol L/C Obligations</w:t>
      </w:r>
      <w:r>
        <w:rPr>
          <w:sz w:val="22"/>
        </w:rPr>
        <w:tab/>
        <w:tab/>
        <w:tab/>
        <w:tab/>
        <w:tab/>
      </w:r>
      <w:r>
        <w:rPr>
          <w:sz w:val="22"/>
          <w:u w:val="single"/>
        </w:rPr>
        <w:t>Aggregate Amount</w:t>
      </w:r>
    </w:p>
    <w:p>
      <w:pPr>
        <w:pStyle w:val="Normal"/>
        <w:keepNext w:val="true"/>
        <w:keepLines/>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5490" w:start="5130" w:end="-720"/>
        <w:rPr>
          <w:sz w:val="22"/>
        </w:rPr>
      </w:pPr>
      <w:r>
        <w:rPr>
          <w:sz w:val="22"/>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360" w:start="-360" w:end="-720"/>
        <w:rPr>
          <w:sz w:val="22"/>
        </w:rPr>
      </w:pPr>
      <w:r>
        <w:rPr>
          <w:sz w:val="22"/>
        </w:rPr>
        <w:t>1.</w:t>
        <w:tab/>
        <w:t>LNG Letters of Credit</w:t>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start="-720" w:end="-720"/>
        <w:rPr>
          <w:sz w:val="22"/>
        </w:rPr>
      </w:pPr>
      <w:r>
        <w:rPr>
          <w:sz w:val="22"/>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5490" w:start="5130" w:end="-720"/>
        <w:rPr>
          <w:sz w:val="22"/>
        </w:rPr>
      </w:pPr>
      <w:r>
        <w:rPr>
          <w:sz w:val="22"/>
        </w:rPr>
        <w:t>(a) Payment Support L/C under</w:t>
        <w:tab/>
        <w:tab/>
        <w:tab/>
        <w:tab/>
        <w:tab/>
        <w:tab/>
        <w:t>$10M</w:t>
        <w:tab/>
        <w:tab/>
        <w:tab/>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firstLine="360" w:start="-720" w:end="-720"/>
        <w:rPr>
          <w:sz w:val="22"/>
        </w:rPr>
      </w:pPr>
      <w:r>
        <w:rPr>
          <w:sz w:val="22"/>
        </w:rPr>
        <w:t xml:space="preserve">      </w:t>
      </w:r>
      <w:r>
        <w:rPr>
          <w:sz w:val="22"/>
        </w:rPr>
        <w:t>the Time Charter Party</w:t>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start="-720" w:end="-720"/>
        <w:rPr>
          <w:sz w:val="22"/>
        </w:rPr>
      </w:pPr>
      <w:r>
        <w:rPr>
          <w:sz w:val="22"/>
        </w:rPr>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5490" w:start="5130" w:end="-720"/>
        <w:rPr>
          <w:sz w:val="22"/>
        </w:rPr>
      </w:pPr>
      <w:r>
        <w:rPr>
          <w:sz w:val="22"/>
        </w:rPr>
        <w:t>(b) Force Majeure L/C under</w:t>
        <w:tab/>
        <w:tab/>
        <w:tab/>
        <w:tab/>
        <w:tab/>
        <w:tab/>
        <w:t>$60M</w:t>
        <w:tab/>
        <w:tab/>
        <w:tab/>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firstLine="360" w:start="-720" w:end="-720"/>
        <w:rPr>
          <w:sz w:val="22"/>
        </w:rPr>
      </w:pPr>
      <w:r>
        <w:rPr>
          <w:sz w:val="22"/>
        </w:rPr>
        <w:t xml:space="preserve">      </w:t>
      </w:r>
      <w:r>
        <w:rPr>
          <w:sz w:val="22"/>
        </w:rPr>
        <w:t>the Time Charter Party</w:t>
      </w:r>
    </w:p>
    <w:p>
      <w:pPr>
        <w:pStyle w:val="Normal"/>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start="-720" w:end="-720"/>
        <w:rPr>
          <w:sz w:val="22"/>
        </w:rPr>
      </w:pPr>
      <w:r>
        <w:rPr>
          <w:sz w:val="22"/>
        </w:rPr>
      </w:r>
    </w:p>
    <w:p>
      <w:pPr>
        <w:pStyle w:val="Normal"/>
        <w:keepNext w:val="true"/>
        <w:keepLines/>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5400" w:start="5040" w:end="-720"/>
        <w:rPr>
          <w:sz w:val="22"/>
        </w:rPr>
      </w:pPr>
      <w:r>
        <w:rPr>
          <w:sz w:val="22"/>
        </w:rPr>
        <w:t>(c) Payment Support L/C under</w:t>
        <w:tab/>
        <w:tab/>
        <w:tab/>
        <w:tab/>
        <w:tab/>
        <w:tab/>
        <w:t>$36M</w:t>
        <w:tab/>
        <w:tab/>
        <w:tab/>
      </w:r>
    </w:p>
    <w:p>
      <w:pPr>
        <w:pStyle w:val="Normal"/>
        <w:keepNext w:val="true"/>
        <w:keepLines/>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firstLine="360" w:start="-720" w:end="-720"/>
        <w:rPr>
          <w:sz w:val="22"/>
        </w:rPr>
      </w:pPr>
      <w:r>
        <w:rPr>
          <w:sz w:val="22"/>
        </w:rPr>
        <w:t xml:space="preserve">      </w:t>
      </w:r>
      <w:r>
        <w:rPr>
          <w:sz w:val="22"/>
        </w:rPr>
        <w:t>the Oman LNG Agreement</w:t>
      </w:r>
    </w:p>
    <w:p>
      <w:pPr>
        <w:pStyle w:val="Normal"/>
        <w:keepLines/>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start="-720" w:end="-720"/>
        <w:rPr>
          <w:sz w:val="22"/>
        </w:rPr>
      </w:pPr>
      <w:r>
        <w:rPr>
          <w:sz w:val="22"/>
        </w:rPr>
      </w:r>
    </w:p>
    <w:p>
      <w:pPr>
        <w:pStyle w:val="Normal"/>
        <w:keepNext w:val="true"/>
        <w:keepLines/>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5490" w:start="5130" w:end="-720"/>
        <w:rPr>
          <w:sz w:val="22"/>
        </w:rPr>
      </w:pPr>
      <w:r>
        <w:rPr>
          <w:sz w:val="22"/>
        </w:rPr>
        <w:t xml:space="preserve"> </w:t>
      </w:r>
      <w:r>
        <w:rPr>
          <w:sz w:val="22"/>
        </w:rPr>
        <w:t>(d) Payment Support L/C under the AdGas</w:t>
        <w:tab/>
        <w:tab/>
        <w:tab/>
        <w:tab/>
        <w:t>$9M</w:t>
        <w:tab/>
        <w:tab/>
        <w:tab/>
      </w:r>
    </w:p>
    <w:p>
      <w:pPr>
        <w:pStyle w:val="Normal"/>
        <w:keepNext w:val="true"/>
        <w:keepLines/>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firstLine="360" w:start="-720" w:end="-720"/>
        <w:rPr/>
      </w:pPr>
      <w:r>
        <w:rPr>
          <w:sz w:val="22"/>
        </w:rPr>
        <w:t xml:space="preserve">       </w:t>
      </w:r>
      <w:r>
        <w:rPr>
          <w:sz w:val="22"/>
        </w:rPr>
        <w:t>LNG Agreement (</w:t>
      </w:r>
      <w:r>
        <w:rPr>
          <w:i/>
          <w:sz w:val="22"/>
        </w:rPr>
        <w:t>approximately equal to the contract</w:t>
      </w:r>
    </w:p>
    <w:p>
      <w:pPr>
        <w:pStyle w:val="Normal"/>
        <w:keepNext w:val="true"/>
        <w:keepLines/>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firstLine="360" w:start="-720" w:end="-720"/>
        <w:rPr/>
      </w:pPr>
      <w:r>
        <w:rPr>
          <w:i/>
          <w:sz w:val="22"/>
        </w:rPr>
        <w:t xml:space="preserve">         </w:t>
      </w:r>
      <w:bookmarkStart w:id="0" w:name="QuickMark"/>
      <w:bookmarkEnd w:id="0"/>
      <w:r>
        <w:rPr>
          <w:i/>
          <w:sz w:val="22"/>
        </w:rPr>
        <w:t>price payable for one LNG cargo</w:t>
      </w:r>
      <w:r>
        <w:rPr>
          <w:sz w:val="22"/>
        </w:rPr>
        <w:t xml:space="preserve"> </w:t>
      </w:r>
      <w:r>
        <w:rPr>
          <w:i/>
          <w:sz w:val="22"/>
        </w:rPr>
        <w:t>at $18/bbl JCC)</w:t>
      </w:r>
    </w:p>
    <w:p>
      <w:pPr>
        <w:pStyle w:val="Normal"/>
        <w:keepLines/>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start="-720" w:end="-720"/>
        <w:rPr>
          <w:sz w:val="22"/>
        </w:rPr>
      </w:pPr>
      <w:r>
        <w:rPr/>
        <w:t xml:space="preserve">            </w:t>
      </w:r>
    </w:p>
    <w:p>
      <w:pPr>
        <w:pStyle w:val="Normal"/>
        <w:keepNext w:val="true"/>
        <w:keepLines/>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hanging="5850" w:start="5130" w:end="-720"/>
        <w:rPr>
          <w:sz w:val="22"/>
        </w:rPr>
      </w:pPr>
      <w:r>
        <w:rPr>
          <w:sz w:val="22"/>
        </w:rPr>
        <w:t>2.</w:t>
        <w:tab/>
        <w:t>Tug Services Letter of Credit</w:t>
        <w:tab/>
        <w:tab/>
        <w:tab/>
        <w:tab/>
        <w:tab/>
        <w:tab/>
        <w:t>$5M</w:t>
      </w:r>
    </w:p>
    <w:p>
      <w:pPr>
        <w:pStyle w:val="Normal"/>
        <w:keepNext w:val="true"/>
        <w:keepLines/>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firstLine="360" w:start="-720" w:end="-720"/>
        <w:rPr/>
      </w:pPr>
      <w:r>
        <w:rPr>
          <w:sz w:val="22"/>
        </w:rPr>
        <w:t>(</w:t>
      </w:r>
      <w:r>
        <w:rPr>
          <w:i/>
          <w:sz w:val="22"/>
        </w:rPr>
        <w:t>approximately equal to 12 months of service charges</w:t>
      </w:r>
      <w:r>
        <w:rPr>
          <w:sz w:val="22"/>
        </w:rPr>
        <w:t>)</w:t>
      </w:r>
    </w:p>
    <w:p>
      <w:pPr>
        <w:pStyle w:val="Normal"/>
        <w:keepNext w:val="true"/>
        <w:keepLines/>
        <w:tabs>
          <w:tab w:val="left" w:pos="-1740" w:leader="none"/>
          <w:tab w:val="left" w:pos="-1440" w:leader="none"/>
          <w:tab w:val="left" w:pos="-720" w:leader="none"/>
          <w:tab w:val="left" w:pos="-360" w:leader="none"/>
          <w:tab w:val="left" w:pos="720" w:leader="none"/>
          <w:tab w:val="left" w:pos="1440" w:leader="none"/>
          <w:tab w:val="left" w:pos="2160" w:leader="none"/>
          <w:tab w:val="left" w:pos="2880" w:leader="none"/>
          <w:tab w:val="left" w:pos="3240" w:leader="none"/>
          <w:tab w:val="left" w:pos="3690" w:leader="none"/>
          <w:tab w:val="left" w:pos="5040" w:leader="none"/>
          <w:tab w:val="left" w:pos="5130" w:leader="none"/>
          <w:tab w:val="left" w:pos="5490" w:leader="none"/>
          <w:tab w:val="left" w:pos="6210" w:leader="none"/>
          <w:tab w:val="left" w:pos="7650" w:leader="none"/>
          <w:tab w:val="left" w:pos="8640" w:leader="none"/>
        </w:tabs>
        <w:ind w:firstLine="360" w:start="-720" w:end="-720"/>
        <w:rPr>
          <w:sz w:val="22"/>
        </w:rPr>
      </w:pPr>
      <w:r>
        <w:rPr>
          <w:sz w:val="22"/>
        </w:rPr>
      </w:r>
    </w:p>
    <w:p>
      <w:pPr>
        <w:pStyle w:val="Normal"/>
        <w:tabs>
          <w:tab w:val="clear" w:pos="720"/>
          <w:tab w:val="left" w:pos="-720"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484" w:leader="none"/>
        </w:tabs>
        <w:ind w:firstLine="576" w:start="-720" w:end="-720"/>
        <w:rPr>
          <w:rFonts w:ascii="CG Times" w:hAnsi="CG Times" w:cs="CG Times"/>
          <w:sz w:val="22"/>
        </w:rPr>
      </w:pPr>
      <w:r>
        <w:rPr>
          <w:rFonts w:cs="CG Times" w:ascii="CG Times" w:hAnsi="CG Times"/>
          <w:sz w:val="22"/>
        </w:rPr>
        <w:t>Dabhol is requireed to provide the letters of credit listed above.  To facilitate arrangement of the LNG Letters of Credit by DPC, the DPC Secured Creditors have agreed to share their collateral with the issuer of the LNG Letters of Credit.</w:t>
      </w:r>
    </w:p>
    <w:p>
      <w:pPr>
        <w:pStyle w:val="Normal"/>
        <w:tabs>
          <w:tab w:val="clear" w:pos="720"/>
          <w:tab w:val="left" w:pos="-720"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484" w:leader="none"/>
        </w:tabs>
        <w:ind w:firstLine="576" w:start="-720" w:end="-720"/>
        <w:rPr>
          <w:rFonts w:ascii="CG Times" w:hAnsi="CG Times" w:cs="CG Times"/>
          <w:sz w:val="22"/>
        </w:rPr>
      </w:pPr>
      <w:r>
        <w:rPr>
          <w:rFonts w:cs="CG Times" w:ascii="CG Times" w:hAnsi="CG Times"/>
          <w:sz w:val="22"/>
        </w:rPr>
      </w:r>
    </w:p>
    <w:p>
      <w:pPr>
        <w:pStyle w:val="Normal"/>
        <w:tabs>
          <w:tab w:val="clear" w:pos="720"/>
          <w:tab w:val="left" w:pos="-720"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484" w:leader="none"/>
        </w:tabs>
        <w:ind w:firstLine="576" w:start="-720" w:end="-720"/>
        <w:rPr>
          <w:rFonts w:ascii="CG Times" w:hAnsi="CG Times" w:cs="CG Times"/>
          <w:sz w:val="22"/>
        </w:rPr>
      </w:pPr>
      <w:r>
        <w:rPr>
          <w:rFonts w:cs="CG Times" w:ascii="CG Times" w:hAnsi="CG Times"/>
          <w:sz w:val="22"/>
        </w:rPr>
        <w:t>Pursuant to the DPC Sponsor Support Agreement entered into with the Greenfield Shipping lenders, the sponsors of DPC have agreed to provide a letter of credit of $40 M to the extent certain conditions are not satisfied, one of which is the failure of DPC to provide the $60 M Force Majeure letter of credit under the Time Charter Party referred to above.</w:t>
      </w:r>
    </w:p>
    <w:p>
      <w:pPr>
        <w:pStyle w:val="Normal"/>
        <w:tabs>
          <w:tab w:val="clear" w:pos="720"/>
          <w:tab w:val="left" w:pos="-720"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484" w:leader="none"/>
        </w:tabs>
        <w:ind w:firstLine="576" w:start="-720" w:end="-720"/>
        <w:rPr>
          <w:rFonts w:ascii="CG Times" w:hAnsi="CG Times" w:cs="CG Times"/>
          <w:sz w:val="22"/>
        </w:rPr>
      </w:pPr>
      <w:r>
        <w:rPr>
          <w:rFonts w:cs="CG Times" w:ascii="CG Times" w:hAnsi="CG Times"/>
          <w:sz w:val="22"/>
        </w:rPr>
      </w:r>
    </w:p>
    <w:sectPr>
      <w:footerReference w:type="default" r:id="rId2"/>
      <w:type w:val="nextPage"/>
      <w:pgSz w:w="12240" w:h="15840"/>
      <w:pgMar w:left="2160" w:right="1872" w:gutter="0" w:header="0" w:top="1440" w:footer="1368" w:bottom="1424"/>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 w:date="0-00-00T00:00:00Z" w:initials=" ">
    <w:p>
      <w:pPr>
        <w:overflowPunct w:val="false"/>
        <w:bidi w:val="0"/>
        <w:rPr/>
      </w:pPr>
      <w:r>
        <w:annotationRef/>
      </w:r>
      <w:r>
        <w:rPr>
          <w:rFonts w:ascii="Times New Roman" w:hAnsi="Times New Roman" w:eastAsia="Times New Roman" w:cs="Times New Roman"/>
          <w:color w:val="auto"/>
          <w:sz w:val="24"/>
          <w:szCs w:val="20"/>
          <w:lang w:bidi="en-US" w:val="en-US" w:eastAsia="en-US"/>
        </w:rPr>
        <w:t>FOOTER B HAS BEEN ENTERED (DRAFT)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8208" w:leader="none"/>
      </w:tabs>
      <w:rPr>
        <w:sz w:val="14"/>
      </w:rPr>
    </w:pPr>
    <w:r>
      <w:rPr>
        <w:sz w:val="14"/>
      </w:rPr>
      <w:t>311274.02-D.C. Server 1A</w:t>
      <w:tab/>
      <w:t>Draft October 13, 2000 - 4:45 pm</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212715" cy="177165"/>
              <wp:effectExtent l="0" t="0" r="0" b="0"/>
              <wp:wrapTopAndBottom/>
              <wp:docPr id="1" name="Frame1"/>
              <a:graphic xmlns:a="http://schemas.openxmlformats.org/drawingml/2006/main">
                <a:graphicData uri="http://schemas.microsoft.com/office/word/2010/wordprocessingShape">
                  <wps:wsp>
                    <wps:cNvSpPr txBox="1"/>
                    <wps:spPr>
                      <a:xfrm>
                        <a:off x="0" y="0"/>
                        <a:ext cx="521271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10.4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z w:val="22"/>
    </w:rPr>
  </w:style>
  <w:style w:type="character" w:styleId="WW8Num2z0">
    <w:name w:val="WW8Num2z0"/>
    <w:qFormat/>
    <w:rPr/>
  </w:style>
  <w:style w:type="character" w:styleId="WW8Num3z0">
    <w:name w:val="WW8Num3z0"/>
    <w:qFormat/>
    <w:rPr>
      <w:rFonts w:ascii="Symbol" w:hAnsi="Symbol" w:cs="Symbol"/>
      <w:sz w:val="16"/>
    </w:rPr>
  </w:style>
  <w:style w:type="character" w:styleId="WW8Num4z0">
    <w:name w:val="WW8Num4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2000-11-29T20:08:00Z</dcterms:created>
  <dc:creator>gblack</dc:creator>
  <dc:description/>
  <dc:language>en-CA</dc:language>
  <cp:lastModifiedBy>gblack</cp:lastModifiedBy>
  <cp:lastPrinted>2000-11-29T16:26:00Z</cp:lastPrinted>
  <dcterms:modified xsi:type="dcterms:W3CDTF">2000-11-29T20:09:00Z</dcterms:modified>
  <cp:revision>3</cp:revision>
  <dc:subject/>
  <dc:title/>
</cp:coreProperties>
</file>