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 xml:space="preserve">THIS AGREEMENT TO INTERCONNECT AND OPERATE NATURAL GAS PIPELINE FACILITIES ("Agreement"), is entered into and made effective this __ day of May, 2000, by and between, LOWER COLORADO RIVER AUTHORITY (“LCRA”), a ________ ____________________, and HOUSTON PIPE LINE COMPANY, a Delaware corporation, ("HPL").  (LCRA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LCRA owns and operates a 16-inch pipeline and related facilities (the "</w:t>
      </w:r>
      <w:r>
        <w:rPr>
          <w:rFonts w:cs="Arial Narrow" w:ascii="Arial Narrow" w:hAnsi="Arial Narrow"/>
          <w:sz w:val="18"/>
          <w:u w:val="single"/>
        </w:rPr>
        <w:t>LCRA Pipeline</w:t>
      </w:r>
      <w:r>
        <w:rPr>
          <w:rFonts w:cs="Arial Narrow" w:ascii="Arial Narrow" w:hAnsi="Arial Narrow"/>
          <w:sz w:val="18"/>
        </w:rPr>
        <w:t xml:space="preserve">") located in Texas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xml:space="preserve">"); and </w:t>
      </w:r>
    </w:p>
    <w:p>
      <w:pPr>
        <w:pStyle w:val="Heading2"/>
        <w:widowControl/>
        <w:rPr>
          <w:rFonts w:ascii="Arial Narrow" w:hAnsi="Arial Narrow" w:cs="Arial Narrow"/>
          <w:sz w:val="18"/>
        </w:rPr>
      </w:pPr>
      <w:r>
        <w:rPr>
          <w:rFonts w:cs="Arial Narrow" w:ascii="Arial Narrow" w:hAnsi="Arial Narrow"/>
          <w:sz w:val="18"/>
        </w:rPr>
        <w:tab/>
        <w:t>WHEREAS, LCRA and HPL desire to install, own, and operate a natural gas meter station located at the eastern end of the LCRA Pipeline near Prairie Lea in Caldwell County, Texas to deliver natural gas from the HPL Pipeline to the LCRA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8-inch turbine meter, a chromatograph, flow control valves and associated equipment, EFM/SCADA and RTU equipment, communication equipment, instrumentation, and tee and side valve and crossover pipelines required for the physical delivery of natural gas between HPL Pipeline and the LCRA Pipeline (the "</w:t>
      </w:r>
      <w:r>
        <w:rPr>
          <w:rFonts w:cs="Arial Narrow" w:ascii="Arial Narrow" w:hAnsi="Arial Narrow"/>
          <w:sz w:val="18"/>
          <w:u w:val="single"/>
        </w:rPr>
        <w:t>Interconnect</w:t>
      </w:r>
      <w:r>
        <w:rPr>
          <w:rFonts w:cs="Arial Narrow" w:ascii="Arial Narrow" w:hAnsi="Arial Narrow"/>
          <w:sz w:val="18"/>
        </w:rPr>
        <w:t>").  The Interconnect shall consist of the LCRA Facilities, the HPL Operated Facilities, and the HPL Facilities, as defined below. The layout of the Interconnect between the LCRA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LCRA Ownership</w:t>
      </w:r>
      <w:r>
        <w:rPr>
          <w:rFonts w:cs="Arial Narrow" w:ascii="Arial Narrow" w:hAnsi="Arial Narrow"/>
          <w:sz w:val="18"/>
        </w:rPr>
        <w:t xml:space="preserve">. LCRA shall own that portion of the Interconnect located on LCRA’s side of the flange designated as the point of custody transfer as defined in Section 5(i) below which shall include (i) </w:t>
      </w:r>
      <w:r>
        <w:rPr>
          <w:rFonts w:cs="Arial Narrow" w:ascii="Arial Narrow" w:hAnsi="Arial Narrow"/>
          <w:color w:val="000000"/>
          <w:sz w:val="18"/>
        </w:rPr>
        <w:t xml:space="preserve">tee and side valve on the 16-inch LCRA Pipeline, the piping from this side valve to the LCRA side of the outlet flange of the 12-inch valve on the downstream side of the meter run as shown on Exhibit "A" attached, and LCRA’s EFM/SCADA, LCRA’s communication equipment and instrumentation </w:t>
      </w:r>
      <w:r>
        <w:rPr>
          <w:rFonts w:cs="Arial Narrow" w:ascii="Arial Narrow" w:hAnsi="Arial Narrow"/>
          <w:sz w:val="18"/>
        </w:rPr>
        <w:t>(the "LCRA</w:t>
      </w:r>
      <w:r>
        <w:rPr>
          <w:rFonts w:cs="Arial Narrow" w:ascii="Arial Narrow" w:hAnsi="Arial Narrow"/>
          <w:sz w:val="18"/>
          <w:u w:val="single"/>
        </w:rPr>
        <w:t xml:space="preserve"> Facilities</w:t>
      </w:r>
      <w:r>
        <w:rPr>
          <w:rFonts w:cs="Arial Narrow" w:ascii="Arial Narrow" w:hAnsi="Arial Narrow"/>
          <w:sz w:val="18"/>
        </w:rPr>
        <w:t xml:space="preserve">") and (ii) the turbine meter, the flow control valves and associated equipment, and the chromatograph, and associated piping between the flange designated as the point of custody transfer as defined in Section 5(i) below and </w:t>
      </w:r>
      <w:r>
        <w:rPr>
          <w:rFonts w:cs="Arial Narrow" w:ascii="Arial Narrow" w:hAnsi="Arial Narrow"/>
          <w:color w:val="000000"/>
          <w:sz w:val="18"/>
        </w:rPr>
        <w:t>the outlet flange of the 12-inch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flange designated as the point of custody transfer as defined in Section 5(i) below and (ii) HPL’s EFM/SCADA and RTU, and HPL’s communication equipment and instrumentation located at the Interconnect (collectively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LCRA in accordance with the Standards.  Prior to the commencement of construction, LCRA shall submit all construction, material and equipment drawings and specifications to HPL for HPL’s approval which shall not be unreasonably withheld.  HPL shall review such drawings and specifications within ten (10) days of receipt thereof.  The LCRA Facilities shall be designed, installed and constructed by LCRA in accordance with the Standards.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LCRA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LCRA shall reimburse HPL for all direct and indirect costs associated with the design, installation, procurement, and construction of the HPL Facilities including IRS tax gross-up.  HPL shall invoice LCRA for such costs and LCRA shall pay such invoice within 15 days of LCRA’s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LCRA shall obtain all clearances, permits, licenses, authorizations, easements and other land rights that may be needed for the construction, installation, maintenance, and operation by HPL of the HPL Operated Facilities and the LCRA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HPL shall invoice LCRA on a monthly basis for all maintenance or capital expenditures performed by HPL on the HPL Operated Facilities for the previous month.  LCRA shall pay such invoice within 15 days of its receipt thereof.  HPL shall notify LCRA five (5) days prior to performing any scheduled maintenance or capital expenditures in excess of $3,000.00 for a single item for LCRA’s approval, which shall not be unreasonably withheld.  LCRA shall operate and maintain the LCRA Facilities in accordance with sound and prudent natural gas industry practice and shall be fully responsible for the routine operation and maintenance thereof and for all cost and expense associated therewith.  LCRA shall be responsible for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flange located at the downstream side of HPL’s 12” hot tap valve,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the Standards.  Operation of portions of the Interconnect by HPL or its designee shall include operation of the turbine meter and HPL’s EFM/SCADA (the "</w:t>
      </w:r>
      <w:r>
        <w:rPr>
          <w:rFonts w:cs="Arial Narrow" w:ascii="Arial Narrow" w:hAnsi="Arial Narrow"/>
          <w:sz w:val="18"/>
          <w:u w:val="single"/>
        </w:rPr>
        <w:t>Meter</w:t>
      </w:r>
      <w:r>
        <w:rPr>
          <w:rFonts w:cs="Arial Narrow" w:ascii="Arial Narrow" w:hAnsi="Arial Narrow"/>
          <w:sz w:val="18"/>
        </w:rPr>
        <w:t>") and HPL shall give LCRA twenty-four hour operational notice to HPL prior to any testing or calibrating of the Meter.  LCRA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the HPL has given such notice to LCRA and LCRA is not present at the time specified, then HPL may proceed with the tests as though LCRA were present, and the results therefrom shall be deemed correct and accurate.  The Meters shall be used to perform custody transfer measurement of the gas.  LCRA shall have the right to install check measurement at its sole cost and expense; provided that such check measurement shall not interfere with the operation of the custody transfer measurement.  </w:t>
      </w:r>
    </w:p>
    <w:p>
      <w:pPr>
        <w:pStyle w:val="Heading2"/>
        <w:widowControl/>
        <w:rPr/>
      </w:pPr>
      <w:r>
        <w:rPr>
          <w:rFonts w:cs="Arial Narrow" w:ascii="Arial Narrow" w:hAnsi="Arial Narrow"/>
          <w:sz w:val="18"/>
        </w:rPr>
        <w:tab/>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LCRA Pipeline at pressures existing from time to time in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LCRA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LCRA:</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Lower Colorado River Authority</w:t>
      </w:r>
    </w:p>
    <w:p>
      <w:pPr>
        <w:pStyle w:val="Normal"/>
        <w:widowControl/>
        <w:rPr>
          <w:rFonts w:ascii="Arial Narrow" w:hAnsi="Arial Narrow" w:cs="Arial Narrow"/>
          <w:sz w:val="18"/>
        </w:rPr>
      </w:pPr>
      <w:r>
        <w:rPr>
          <w:rFonts w:cs="Arial Narrow" w:ascii="Arial Narrow" w:hAnsi="Arial Narrow"/>
          <w:sz w:val="18"/>
        </w:rPr>
        <w:t>1400 Smith St.</w:t>
        <w:tab/>
        <w:tab/>
        <w:tab/>
        <w:t>P.O.Box 220</w:t>
      </w:r>
    </w:p>
    <w:p>
      <w:pPr>
        <w:pStyle w:val="Normal"/>
        <w:widowControl/>
        <w:rPr>
          <w:rFonts w:ascii="Arial Narrow" w:hAnsi="Arial Narrow" w:cs="Arial Narrow"/>
          <w:sz w:val="18"/>
        </w:rPr>
      </w:pPr>
      <w:r>
        <w:rPr>
          <w:rFonts w:cs="Arial Narrow" w:ascii="Arial Narrow" w:hAnsi="Arial Narrow"/>
          <w:sz w:val="18"/>
        </w:rPr>
        <w:t>Houston, Texas 77002-7361</w:t>
        <w:tab/>
        <w:tab/>
        <w:t>Austin, TX 78767</w:t>
      </w:r>
    </w:p>
    <w:p>
      <w:pPr>
        <w:pStyle w:val="Normal"/>
        <w:widowControl/>
        <w:rPr>
          <w:rFonts w:ascii="Arial Narrow" w:hAnsi="Arial Narrow" w:cs="Arial Narrow"/>
          <w:sz w:val="18"/>
        </w:rPr>
      </w:pPr>
      <w:r>
        <w:rPr>
          <w:rFonts w:cs="Arial Narrow" w:ascii="Arial Narrow" w:hAnsi="Arial Narrow"/>
          <w:sz w:val="18"/>
        </w:rPr>
        <w:t>Attention:  Natural Gas Assets</w:t>
        <w:tab/>
        <w:tab/>
        <w:t>Attn: __________________________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(512) _______</w:t>
      </w:r>
    </w:p>
    <w:p>
      <w:pPr>
        <w:pStyle w:val="Normal"/>
        <w:widowControl/>
        <w:ind w:firstLine="720" w:start="1440" w:end="0"/>
        <w:rPr>
          <w:rFonts w:ascii="Arial Narrow" w:hAnsi="Arial Narrow" w:cs="Arial Narrow"/>
          <w:sz w:val="18"/>
        </w:rPr>
      </w:pPr>
      <w:r>
        <w:rPr>
          <w:rFonts w:cs="Arial Narrow" w:ascii="Arial Narrow" w:hAnsi="Arial Narrow"/>
          <w:sz w:val="18"/>
        </w:rPr>
        <w:tab/>
        <w:t>Phone Number: (512) 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ab/>
        <w:tab/>
        <w:tab/>
        <w:tab/>
        <w:t>Lower Colorado River Authority</w:t>
      </w:r>
    </w:p>
    <w:p>
      <w:pPr>
        <w:pStyle w:val="Normal"/>
        <w:widowControl/>
        <w:ind w:firstLine="720" w:end="0"/>
        <w:rPr>
          <w:rFonts w:ascii="Arial Narrow" w:hAnsi="Arial Narrow" w:cs="Arial Narrow"/>
          <w:sz w:val="18"/>
        </w:rPr>
      </w:pPr>
      <w:r>
        <w:rPr>
          <w:rFonts w:cs="Arial Narrow" w:ascii="Arial Narrow" w:hAnsi="Arial Narrow"/>
          <w:sz w:val="18"/>
        </w:rPr>
        <w:tab/>
        <w:tab/>
        <w:tab/>
        <w:t>P.O. Box 220</w:t>
      </w:r>
    </w:p>
    <w:p>
      <w:pPr>
        <w:pStyle w:val="Normal"/>
        <w:widowControl/>
        <w:rPr>
          <w:rFonts w:ascii="Arial Narrow" w:hAnsi="Arial Narrow" w:cs="Arial Narrow"/>
          <w:sz w:val="18"/>
        </w:rPr>
      </w:pPr>
      <w:r>
        <w:rPr>
          <w:rFonts w:cs="Arial Narrow" w:ascii="Arial Narrow" w:hAnsi="Arial Narrow"/>
          <w:sz w:val="18"/>
        </w:rPr>
        <w:tab/>
        <w:tab/>
        <w:tab/>
        <w:tab/>
        <w:t>Austin, TX 78767</w:t>
      </w:r>
    </w:p>
    <w:p>
      <w:pPr>
        <w:pStyle w:val="Normal"/>
        <w:widowControl/>
        <w:rPr>
          <w:rFonts w:ascii="Arial Narrow" w:hAnsi="Arial Narrow" w:cs="Arial Narrow"/>
          <w:sz w:val="18"/>
        </w:rPr>
      </w:pPr>
      <w:r>
        <w:rPr>
          <w:rFonts w:cs="Arial Narrow" w:ascii="Arial Narrow" w:hAnsi="Arial Narrow"/>
          <w:sz w:val="18"/>
        </w:rPr>
        <w:tab/>
        <w:tab/>
        <w:tab/>
        <w:tab/>
        <w:t>Attn: _________________</w:t>
      </w:r>
    </w:p>
    <w:p>
      <w:pPr>
        <w:pStyle w:val="Normal"/>
        <w:widowControl/>
        <w:ind w:firstLine="720" w:start="2160" w:end="0"/>
        <w:rPr>
          <w:rFonts w:ascii="Arial Narrow" w:hAnsi="Arial Narrow" w:cs="Arial Narrow"/>
          <w:sz w:val="18"/>
        </w:rPr>
      </w:pPr>
      <w:r>
        <w:rPr>
          <w:rFonts w:cs="Arial Narrow" w:ascii="Arial Narrow" w:hAnsi="Arial Narrow"/>
          <w:sz w:val="18"/>
        </w:rPr>
        <w:t>Facsimile Number: (512) _______</w:t>
      </w:r>
    </w:p>
    <w:p>
      <w:pPr>
        <w:pStyle w:val="Normal"/>
        <w:widowControl/>
        <w:rPr>
          <w:rFonts w:ascii="Arial Narrow" w:hAnsi="Arial Narrow" w:cs="Arial Narrow"/>
          <w:sz w:val="18"/>
        </w:rPr>
      </w:pPr>
      <w:r>
        <w:rPr>
          <w:rFonts w:cs="Arial Narrow" w:ascii="Arial Narrow" w:hAnsi="Arial Narrow"/>
          <w:sz w:val="18"/>
        </w:rPr>
        <w:tab/>
        <w:tab/>
        <w:tab/>
        <w:tab/>
        <w:t>Phone Number: (512) 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LOWER COLORADO RIVER AUTHORITY</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rPr>
          <w:rFonts w:ascii="Arial Narrow" w:hAnsi="Arial Narrow" w:cs="Arial Narrow"/>
          <w:b/>
          <w:sz w:val="18"/>
          <w:u w:val="single"/>
        </w:rPr>
      </w:pPr>
      <w:r>
        <w:rPr>
          <w:rFonts w:cs="Arial Narrow" w:ascii="Arial Narrow" w:hAnsi="Arial Narrow"/>
          <w:b/>
          <w:sz w:val="18"/>
          <w:u w:val="single"/>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2000-04-13T17:14:00Z</dcterms:created>
  <dc:creator>ECT</dc:creator>
  <dc:description/>
  <dc:language>en-CA</dc:language>
  <cp:lastModifiedBy>Eric A. Gillaspie</cp:lastModifiedBy>
  <cp:lastPrinted>2000-04-26T13:45:00Z</cp:lastPrinted>
  <dcterms:modified xsi:type="dcterms:W3CDTF">2000-05-19T11:18:00Z</dcterms:modified>
  <cp:revision>11</cp:revision>
  <dc:subject/>
  <dc:title>Letter format</dc:title>
</cp:coreProperties>
</file>