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DISCUSSION POINTS FOR LAY / CHENEY MEETING</w:t>
      </w:r>
    </w:p>
    <w:p>
      <w:pPr>
        <w:pStyle w:val="Normal"/>
        <w:rPr/>
      </w:pPr>
      <w:r>
        <w:rPr/>
        <w:t xml:space="preserve"> </w:t>
      </w:r>
    </w:p>
    <w:p>
      <w:pPr>
        <w:pStyle w:val="Normal"/>
        <w:numPr>
          <w:ilvl w:val="0"/>
          <w:numId w:val="2"/>
        </w:numPr>
        <w:rPr/>
      </w:pPr>
      <w:r>
        <w:rPr/>
        <w:t xml:space="preserve">In August 2000, Enron’s Steel Group began trading steel as a commodity, as well as offering customized risk management and financial products for steel producers and end-users.  EnronOnline currently offers market participants the real-time transaction tools and information to create a transparent marketplace for steel products.  </w:t>
      </w:r>
    </w:p>
    <w:p>
      <w:pPr>
        <w:pStyle w:val="Normal"/>
        <w:rPr/>
      </w:pPr>
      <w:r>
        <w:rPr/>
      </w:r>
    </w:p>
    <w:p>
      <w:pPr>
        <w:pStyle w:val="Normal"/>
        <w:numPr>
          <w:ilvl w:val="0"/>
          <w:numId w:val="2"/>
        </w:numPr>
        <w:rPr/>
      </w:pPr>
      <w:r>
        <w:rPr/>
        <w:t>We understand that the Administration is reviewing its options with respect to the steel industry, including the possibility of requesting the U.S. International Trade Commission to undertake a Section 201 investigation on imports of certain types of carbon flat-rolled steel products.</w:t>
      </w:r>
    </w:p>
    <w:p>
      <w:pPr>
        <w:pStyle w:val="Normal"/>
        <w:rPr/>
      </w:pPr>
      <w:r>
        <w:rPr/>
      </w:r>
    </w:p>
    <w:p>
      <w:pPr>
        <w:pStyle w:val="Normal"/>
        <w:numPr>
          <w:ilvl w:val="0"/>
          <w:numId w:val="2"/>
        </w:numPr>
        <w:rPr/>
      </w:pPr>
      <w:r>
        <w:rPr/>
        <w:t xml:space="preserve">Enron opposes proposals -- like Section 201 -- that seek to restrict the free flow of fairly traded goods.  </w:t>
      </w:r>
    </w:p>
    <w:p>
      <w:pPr>
        <w:pStyle w:val="Normal"/>
        <w:ind w:start="360" w:end="0"/>
        <w:rPr/>
      </w:pPr>
      <w:r>
        <w:rPr/>
      </w:r>
    </w:p>
    <w:p>
      <w:pPr>
        <w:pStyle w:val="Normal"/>
        <w:numPr>
          <w:ilvl w:val="0"/>
          <w:numId w:val="2"/>
        </w:numPr>
        <w:rPr/>
      </w:pPr>
      <w:r>
        <w:rPr/>
        <w:t>Consuming industries are found in every state of the Union and employ 50 Americans for every one steelworker.</w:t>
      </w:r>
    </w:p>
    <w:p>
      <w:pPr>
        <w:pStyle w:val="Normal"/>
        <w:ind w:start="360" w:end="0"/>
        <w:rPr/>
      </w:pPr>
      <w:r>
        <w:rPr/>
      </w:r>
    </w:p>
    <w:p>
      <w:pPr>
        <w:pStyle w:val="Normal"/>
        <w:numPr>
          <w:ilvl w:val="0"/>
          <w:numId w:val="2"/>
        </w:numPr>
        <w:rPr/>
      </w:pPr>
      <w:r>
        <w:rPr/>
        <w:t xml:space="preserve">If restrictions are put in place under Section 201, they may have the effect of shutting new competitors out of the steel market.   </w:t>
      </w:r>
    </w:p>
    <w:p>
      <w:pPr>
        <w:pStyle w:val="Normal"/>
        <w:rPr/>
      </w:pPr>
      <w:r>
        <w:rPr/>
      </w:r>
    </w:p>
    <w:p>
      <w:pPr>
        <w:pStyle w:val="Normal"/>
        <w:numPr>
          <w:ilvl w:val="0"/>
          <w:numId w:val="2"/>
        </w:numPr>
        <w:rPr/>
      </w:pPr>
      <w:r>
        <w:rPr/>
        <w:t>Protectionism is bad public policy for other reasons:</w:t>
      </w:r>
    </w:p>
    <w:p>
      <w:pPr>
        <w:pStyle w:val="Normal"/>
        <w:numPr>
          <w:ilvl w:val="1"/>
          <w:numId w:val="2"/>
        </w:numPr>
        <w:rPr/>
      </w:pPr>
      <w:r>
        <w:rPr/>
        <w:t>It sends the wrong signals to other countries - at a critical time in trade negotiations with China, Russia and other trading partners.</w:t>
      </w:r>
    </w:p>
    <w:p>
      <w:pPr>
        <w:pStyle w:val="Normal"/>
        <w:numPr>
          <w:ilvl w:val="1"/>
          <w:numId w:val="2"/>
        </w:numPr>
        <w:rPr/>
      </w:pPr>
      <w:r>
        <w:rPr/>
        <w:t xml:space="preserve">It protects a handful of companies at the expense of many other US-based, steel consuming companies.  </w:t>
      </w:r>
    </w:p>
    <w:p>
      <w:pPr>
        <w:pStyle w:val="Normal"/>
        <w:numPr>
          <w:ilvl w:val="1"/>
          <w:numId w:val="2"/>
        </w:numPr>
        <w:rPr/>
      </w:pPr>
      <w:r>
        <w:rPr/>
        <w:t>It will increase prices to household consumers just as they are seeking to adjust to a slowing economy.</w:t>
      </w:r>
    </w:p>
    <w:p>
      <w:pPr>
        <w:pStyle w:val="Normal"/>
        <w:rPr/>
      </w:pPr>
      <w:r>
        <w:rPr/>
      </w:r>
    </w:p>
    <w:p>
      <w:pPr>
        <w:pStyle w:val="Normal"/>
        <w:numPr>
          <w:ilvl w:val="0"/>
          <w:numId w:val="2"/>
        </w:numPr>
        <w:rPr/>
      </w:pPr>
      <w:r>
        <w:rPr/>
        <w:t>U.S. consumers have been supporting the U.S. steel industry for more than 30 years, despite its continued inefficiencies.  Rather than give the U.S. steel industry further protection, we should be looking for ways to improve the competitiveness of the U.S. steel industry.</w:t>
      </w:r>
    </w:p>
    <w:p>
      <w:pPr>
        <w:pStyle w:val="Normal"/>
        <w:rPr/>
      </w:pPr>
      <w:r>
        <w:rPr/>
      </w:r>
    </w:p>
    <w:p>
      <w:pPr>
        <w:pStyle w:val="Normal"/>
        <w:numPr>
          <w:ilvl w:val="0"/>
          <w:numId w:val="2"/>
        </w:numPr>
        <w:rPr/>
      </w:pPr>
      <w:r>
        <w:rPr/>
        <w:t xml:space="preserve">Enron has seen successful transformations in other markets, such as in natural gas and electricity.  We believe that changes can be made to the U.S. steel industry to rationalize and increase efficiencies in the industry without harming consumers.  </w:t>
      </w:r>
    </w:p>
    <w:p>
      <w:pPr>
        <w:pStyle w:val="Normal"/>
        <w:ind w:start="360" w:end="0"/>
        <w:rPr>
          <w:b/>
        </w:rPr>
      </w:pPr>
      <w:r>
        <w:rPr>
          <w:b/>
        </w:rPr>
      </w:r>
    </w:p>
    <w:p>
      <w:pPr>
        <w:pStyle w:val="Normal"/>
        <w:numPr>
          <w:ilvl w:val="0"/>
          <w:numId w:val="2"/>
        </w:numPr>
        <w:rPr/>
      </w:pPr>
      <w:r>
        <w:rPr/>
        <w:t>The government should provide assistance directly -- not at the expense of other industries and consumers</w:t>
      </w:r>
    </w:p>
    <w:p>
      <w:pPr>
        <w:pStyle w:val="Normal"/>
        <w:rPr/>
      </w:pPr>
      <w:r>
        <w:rPr/>
      </w:r>
    </w:p>
    <w:p>
      <w:pPr>
        <w:pStyle w:val="Normal"/>
        <w:numPr>
          <w:ilvl w:val="0"/>
          <w:numId w:val="2"/>
        </w:numPr>
        <w:rPr/>
      </w:pPr>
      <w:r>
        <w:rPr>
          <w:b/>
          <w:bCs/>
        </w:rPr>
        <w:t>[Ken:  If it looks like the government feels compelled to protect the domestic steel industry through a 201 proceeding, we should make the point that, in return, the government should insist that the domestic industry establish and institute a comprehensive restructuring plan worthy of the government’s support.]</w:t>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Symbol" w:hAnsi="Symbol" w:cs="Symbol"/>
    </w:rPr>
  </w:style>
  <w:style w:type="character" w:styleId="WW8Num1z1">
    <w:name w:val="WW8Num1z1"/>
    <w:qFormat/>
    <w:rPr>
      <w:rFonts w:ascii="Wingdings" w:hAnsi="Wingdings" w:cs="Wingdings"/>
    </w:rPr>
  </w:style>
  <w:style w:type="character" w:styleId="WW8Num1z4">
    <w:name w:val="WW8Num1z4"/>
    <w:qFormat/>
    <w:rPr>
      <w:rFonts w:ascii="Courier New" w:hAnsi="Courier New" w:cs="Courier New"/>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NormalWeb">
    <w:name w:val="Normal (Web)"/>
    <w:basedOn w:val="Normal"/>
    <w:qFormat/>
    <w:pPr>
      <w:spacing w:before="100" w:after="100"/>
    </w:pPr>
    <w:rPr>
      <w:rFonts w:ascii="Arial Unicode MS" w:hAnsi="Arial Unicode MS" w:eastAsia="Arial Unicode MS" w:cs="Arial Unicode M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2001-04-16T10:44:00Z</dcterms:created>
  <dc:creator>lisa yoho</dc:creator>
  <dc:description/>
  <dc:language>en-CA</dc:language>
  <cp:lastModifiedBy>lisa yoho</cp:lastModifiedBy>
  <cp:lastPrinted>2001-04-12T15:21:00Z</cp:lastPrinted>
  <dcterms:modified xsi:type="dcterms:W3CDTF">2001-04-16T10:44:00Z</dcterms:modified>
  <cp:revision>2</cp:revision>
  <dc:subject/>
  <dc:title>DISCUSSION POINTS FOR LAY / CHENEY MEETING</dc:title>
</cp:coreProperties>
</file>