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8"/>
        </w:rPr>
      </w:pPr>
      <w:r>
        <w:rPr>
          <w:rFonts w:cs="Times New Roman" w:ascii="Times New Roman" w:hAnsi="Times New Roman"/>
          <w:sz w:val="28"/>
        </w:rPr>
        <w:t>BEFORE THE</w:t>
        <w:br/>
        <w:t>PUBLIC UTILITIES COMMISSION</w:t>
        <w:br/>
        <w:t>of the</w:t>
        <w:br/>
        <w:t>STATE OF CALIFORNIA</w:t>
      </w:r>
    </w:p>
    <w:p>
      <w:pPr>
        <w:pStyle w:val="Normal"/>
        <w:rPr>
          <w:rFonts w:ascii="Times New Roman" w:hAnsi="Times New Roman" w:cs="Times New Roman"/>
          <w:sz w:val="28"/>
        </w:rPr>
      </w:pPr>
      <w:r>
        <w:rPr>
          <w:rFonts w:cs="Times New Roman"/>
          <w:sz w:val="28"/>
        </w:rPr>
      </w:r>
    </w:p>
    <w:p>
      <w:pPr>
        <w:pStyle w:val="Normal"/>
        <w:rPr/>
      </w:pPr>
      <w:r>
        <w:rPr/>
      </w:r>
    </w:p>
    <w:tbl>
      <w:tblPr>
        <w:tblW w:w="9090" w:type="dxa"/>
        <w:jc w:val="start"/>
        <w:tblInd w:w="120" w:type="dxa"/>
        <w:tblLayout w:type="fixed"/>
        <w:tblCellMar>
          <w:top w:w="0" w:type="dxa"/>
          <w:start w:w="120" w:type="dxa"/>
          <w:bottom w:w="0" w:type="dxa"/>
          <w:end w:w="120" w:type="dxa"/>
        </w:tblCellMar>
      </w:tblPr>
      <w:tblGrid>
        <w:gridCol w:w="5400"/>
        <w:gridCol w:w="3690"/>
      </w:tblGrid>
      <w:tr>
        <w:trPr/>
        <w:tc>
          <w:tcPr>
            <w:tcW w:w="5400" w:type="dxa"/>
            <w:tcBorders>
              <w:bottom w:val="single" w:sz="4" w:space="0" w:color="000000"/>
              <w:end w:val="single" w:sz="4" w:space="0" w:color="000000"/>
            </w:tcBorders>
            <w:vAlign w:val="bottom"/>
          </w:tcPr>
          <w:p>
            <w:pPr>
              <w:pStyle w:val="Normal"/>
              <w:rPr/>
            </w:pPr>
            <w:r>
              <w:rPr/>
              <w:t>Application of Pacific Gas and Electric Company for Approval of Open Season Procedures for Awarding Firm Capacity on its Transmission Facilities</w:t>
            </w:r>
          </w:p>
          <w:p>
            <w:pPr>
              <w:pStyle w:val="Normal"/>
              <w:rPr/>
            </w:pPr>
            <w:r>
              <w:rPr/>
            </w:r>
          </w:p>
        </w:tc>
        <w:tc>
          <w:tcPr>
            <w:tcW w:w="3690" w:type="dxa"/>
            <w:tcBorders/>
            <w:vAlign w:val="center"/>
          </w:tcPr>
          <w:p>
            <w:pPr>
              <w:pStyle w:val="Normal"/>
              <w:ind w:start="240" w:end="0"/>
              <w:rPr/>
            </w:pPr>
            <w:r>
              <w:rPr/>
              <w:t>Application 01-06-020</w:t>
            </w:r>
          </w:p>
          <w:p>
            <w:pPr>
              <w:pStyle w:val="Normal"/>
              <w:ind w:start="240" w:end="0"/>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spacing w:before="0" w:after="1080"/>
        <w:rPr>
          <w:rFonts w:ascii="Times New Roman" w:hAnsi="Times New Roman" w:cs="Times New Roman"/>
          <w:sz w:val="28"/>
        </w:rPr>
      </w:pPr>
      <w:r>
        <w:rPr>
          <w:rFonts w:cs="Times New Roman" w:ascii="Times New Roman" w:hAnsi="Times New Roman"/>
          <w:sz w:val="28"/>
        </w:rPr>
        <w:t>NORTHERN CALIFORNIA GENERATION COALITION</w:t>
        <w:br/>
        <w:t>COMMENT ON DRAFT DECISIONS</w:t>
      </w:r>
    </w:p>
    <w:p>
      <w:pPr>
        <w:pStyle w:val="Heading"/>
        <w:rPr>
          <w:rFonts w:ascii="Times New Roman" w:hAnsi="Times New Roman" w:cs="Times New Roman"/>
          <w:sz w:val="28"/>
        </w:rPr>
      </w:pPr>
      <w:r>
        <w:rPr>
          <w:rFonts w:cs="Times New Roman" w:ascii="Times New Roman" w:hAnsi="Times New Roman"/>
          <w:sz w:val="28"/>
        </w:rPr>
      </w:r>
    </w:p>
    <w:p>
      <w:pPr>
        <w:pStyle w:val="Heading"/>
        <w:rPr/>
      </w:pPr>
      <w:r>
        <w:rPr/>
      </w:r>
    </w:p>
    <w:p>
      <w:pPr>
        <w:pStyle w:val="Heading"/>
        <w:rPr/>
      </w:pPr>
      <w:r>
        <w:rPr/>
      </w:r>
    </w:p>
    <w:tbl>
      <w:tblPr>
        <w:tblW w:w="9540" w:type="dxa"/>
        <w:jc w:val="start"/>
        <w:tblInd w:w="120" w:type="dxa"/>
        <w:tblLayout w:type="fixed"/>
        <w:tblCellMar>
          <w:top w:w="0" w:type="dxa"/>
          <w:start w:w="120" w:type="dxa"/>
          <w:bottom w:w="0" w:type="dxa"/>
          <w:end w:w="120" w:type="dxa"/>
        </w:tblCellMar>
      </w:tblPr>
      <w:tblGrid>
        <w:gridCol w:w="4770"/>
        <w:gridCol w:w="4770"/>
      </w:tblGrid>
      <w:tr>
        <w:trPr/>
        <w:tc>
          <w:tcPr>
            <w:tcW w:w="4770" w:type="dxa"/>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Dated:  July 10, 2001</w:t>
            </w:r>
          </w:p>
        </w:tc>
        <w:tc>
          <w:tcPr>
            <w:tcW w:w="4770" w:type="dxa"/>
            <w:tcBorders/>
          </w:tcPr>
          <w:p>
            <w:pPr>
              <w:pStyle w:val="Normal"/>
              <w:rPr/>
            </w:pPr>
            <w:r>
              <w:rPr/>
              <w:t>Norman A. Pedersen, Esq.</w:t>
            </w:r>
          </w:p>
          <w:p>
            <w:pPr>
              <w:pStyle w:val="Normal"/>
              <w:rPr/>
            </w:pPr>
            <w:r>
              <w:rPr>
                <w:b/>
              </w:rPr>
              <w:t>JONES, DAY, REAVIS &amp; POGUE</w:t>
              <w:br/>
            </w:r>
            <w:r>
              <w:rPr/>
              <w:t>555 West Fifth Street, Suite 4600</w:t>
              <w:br/>
              <w:t>Los Angeles, California 90013-1025</w:t>
              <w:br/>
              <w:t>Telephone: (213) 489-3939</w:t>
              <w:br/>
              <w:t>Facsimile:  (213) 243-2539</w:t>
            </w:r>
          </w:p>
          <w:p>
            <w:pPr>
              <w:pStyle w:val="Normal"/>
              <w:rPr/>
            </w:pPr>
            <w:r>
              <w:rPr/>
              <w:t xml:space="preserve">e-mail:  </w:t>
            </w:r>
            <w:hyperlink r:id="rId2">
              <w:r>
                <w:rPr>
                  <w:rStyle w:val="Hyperlink"/>
                </w:rPr>
                <w:t>napedersen@jonesday.com</w:t>
              </w:r>
            </w:hyperlink>
          </w:p>
          <w:p>
            <w:pPr>
              <w:pStyle w:val="Normal"/>
              <w:rPr/>
            </w:pPr>
            <w:r>
              <w:rPr/>
            </w:r>
          </w:p>
          <w:p>
            <w:pPr>
              <w:pStyle w:val="Normal"/>
              <w:rPr/>
            </w:pPr>
            <w:r>
              <w:rPr/>
              <w:t xml:space="preserve">Attorneys for </w:t>
            </w:r>
          </w:p>
          <w:p>
            <w:pPr>
              <w:pStyle w:val="Normal"/>
              <w:rPr>
                <w:b/>
              </w:rPr>
            </w:pPr>
            <w:r>
              <w:rPr>
                <w:b/>
              </w:rPr>
              <w:t>Northern California Generation Coalition</w:t>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776"/>
          <w:pgNumType w:fmt="decimal"/>
          <w:formProt w:val="false"/>
          <w:titlePg/>
          <w:textDirection w:val="lrTb"/>
          <w:docGrid w:type="default" w:linePitch="360" w:charSpace="0"/>
        </w:sectPr>
        <w:pStyle w:val="Normal"/>
        <w:rPr/>
      </w:pPr>
      <w:r>
        <w:rPr/>
      </w:r>
    </w:p>
    <w:p>
      <w:pPr>
        <w:pStyle w:val="Heading"/>
        <w:ind w:end="72"/>
        <w:rPr>
          <w:rFonts w:ascii="Times New Roman" w:hAnsi="Times New Roman" w:cs="Times New Roman"/>
          <w:sz w:val="28"/>
        </w:rPr>
      </w:pPr>
      <w:r>
        <w:rPr>
          <w:rFonts w:cs="Times New Roman" w:ascii="Times New Roman" w:hAnsi="Times New Roman"/>
          <w:sz w:val="28"/>
        </w:rPr>
        <w:t>BEFORE THE</w:t>
        <w:br/>
        <w:t>PUBLIC UTILITIES COMMISSION</w:t>
        <w:br/>
        <w:t>of the</w:t>
        <w:br/>
        <w:t>STATE OF CALIFORNIA</w:t>
      </w:r>
    </w:p>
    <w:p>
      <w:pPr>
        <w:pStyle w:val="Normal"/>
        <w:rPr>
          <w:rFonts w:ascii="Times New Roman" w:hAnsi="Times New Roman" w:cs="Times New Roman"/>
          <w:sz w:val="28"/>
        </w:rPr>
      </w:pPr>
      <w:r>
        <w:rPr>
          <w:rFonts w:cs="Times New Roman"/>
          <w:sz w:val="28"/>
        </w:rPr>
      </w:r>
    </w:p>
    <w:tbl>
      <w:tblPr>
        <w:tblW w:w="9090" w:type="dxa"/>
        <w:jc w:val="start"/>
        <w:tblInd w:w="120" w:type="dxa"/>
        <w:tblLayout w:type="fixed"/>
        <w:tblCellMar>
          <w:top w:w="0" w:type="dxa"/>
          <w:start w:w="120" w:type="dxa"/>
          <w:bottom w:w="0" w:type="dxa"/>
          <w:end w:w="120" w:type="dxa"/>
        </w:tblCellMar>
      </w:tblPr>
      <w:tblGrid>
        <w:gridCol w:w="5400"/>
        <w:gridCol w:w="3690"/>
      </w:tblGrid>
      <w:tr>
        <w:trPr/>
        <w:tc>
          <w:tcPr>
            <w:tcW w:w="5400" w:type="dxa"/>
            <w:tcBorders>
              <w:bottom w:val="single" w:sz="4" w:space="0" w:color="000000"/>
              <w:end w:val="single" w:sz="4" w:space="0" w:color="000000"/>
            </w:tcBorders>
            <w:vAlign w:val="bottom"/>
          </w:tcPr>
          <w:p>
            <w:pPr>
              <w:pStyle w:val="Normal"/>
              <w:rPr/>
            </w:pPr>
            <w:r>
              <w:rPr/>
              <w:t>Application of Pacific Gas and Electric Company for Approval of Open Season Procedures for Awarding Firm Capacity on its Transmission Facilities</w:t>
            </w:r>
          </w:p>
          <w:p>
            <w:pPr>
              <w:pStyle w:val="Normal"/>
              <w:rPr/>
            </w:pPr>
            <w:r>
              <w:rPr/>
            </w:r>
          </w:p>
        </w:tc>
        <w:tc>
          <w:tcPr>
            <w:tcW w:w="3690" w:type="dxa"/>
            <w:tcBorders/>
            <w:vAlign w:val="center"/>
          </w:tcPr>
          <w:p>
            <w:pPr>
              <w:pStyle w:val="Normal"/>
              <w:ind w:start="240" w:end="0"/>
              <w:rPr/>
            </w:pPr>
            <w:r>
              <w:rPr/>
              <w:t>Application 01-06-020</w:t>
            </w:r>
          </w:p>
          <w:p>
            <w:pPr>
              <w:pStyle w:val="Normal"/>
              <w:ind w:start="240" w:end="0"/>
              <w:rPr/>
            </w:pPr>
            <w:r>
              <w:rPr/>
            </w:r>
          </w:p>
        </w:tc>
      </w:tr>
    </w:tbl>
    <w:p>
      <w:pPr>
        <w:pStyle w:val="Normal"/>
        <w:rPr/>
      </w:pPr>
      <w:r>
        <w:rPr/>
      </w:r>
    </w:p>
    <w:p>
      <w:pPr>
        <w:pStyle w:val="Normal"/>
        <w:rPr/>
      </w:pPr>
      <w:r>
        <w:rPr/>
      </w:r>
    </w:p>
    <w:p>
      <w:pPr>
        <w:pStyle w:val="Normal"/>
        <w:rPr/>
      </w:pPr>
      <w:r>
        <w:rPr/>
      </w:r>
    </w:p>
    <w:p>
      <w:pPr>
        <w:pStyle w:val="Heading"/>
        <w:rPr>
          <w:rFonts w:ascii="Times New Roman" w:hAnsi="Times New Roman" w:cs="Times New Roman"/>
          <w:sz w:val="28"/>
        </w:rPr>
      </w:pPr>
      <w:r>
        <w:rPr>
          <w:rFonts w:cs="Times New Roman" w:ascii="Times New Roman" w:hAnsi="Times New Roman"/>
          <w:sz w:val="28"/>
        </w:rPr>
        <w:t>NORTHERN CALIFORNIA GENERATION COALITION</w:t>
        <w:br/>
        <w:t>COMMENT ON DRAFT DECISIONS</w:t>
      </w:r>
    </w:p>
    <w:p>
      <w:pPr>
        <w:pStyle w:val="Normal"/>
        <w:rPr>
          <w:rFonts w:ascii="Times New Roman" w:hAnsi="Times New Roman" w:cs="Times New Roman"/>
          <w:sz w:val="28"/>
          <w:u w:val="single"/>
        </w:rPr>
      </w:pPr>
      <w:r>
        <w:rPr>
          <w:rFonts w:cs="Times New Roman"/>
          <w:sz w:val="28"/>
          <w:u w:val="single"/>
        </w:rPr>
      </w:r>
    </w:p>
    <w:p>
      <w:pPr>
        <w:pStyle w:val="BodyText"/>
        <w:rPr/>
      </w:pPr>
      <w:r>
        <w:rPr/>
        <w:t>In accordance with the July 5 and 6, 2001 Notice to Parties of Record in Application (“A.”) 01-06-020, the Northern California Generation Coalition (“NCGC”) respectfully submits this Comment on the Draft Decision of Commissioner Bilas mailed July 5, 2001, the Alternate Draft Decision of Administrative Law Judge (“ALJ”) Brown mailed July 5, 2001, and the Alternate Draft Decision of Commissioner Brown mailed July 6, 2001, in the captioned proceeding.</w:t>
      </w:r>
    </w:p>
    <w:p>
      <w:pPr>
        <w:pStyle w:val="BodyText"/>
        <w:rPr/>
      </w:pPr>
      <w:r>
        <w:rPr/>
        <w:t>ALJ Brown's Alternate denies PG&amp;E’s request for approval of its open season for firm backbone transmission capacity and directs PG&amp;E to cease the open season.  Commissioner Bilas' Draft and Commissioner Brown's Alternate permit PG&amp;E to proceed with its open season, albeit with conditions.  SCGC urges the Commission to adopt ALJ Brown’s Alternate.</w:t>
      </w:r>
    </w:p>
    <w:p>
      <w:pPr>
        <w:pStyle w:val="BodyText"/>
        <w:rPr/>
      </w:pPr>
      <w:r>
        <w:rPr/>
        <w:t xml:space="preserve">The central issue before the Commission is whether PG&amp;E should be allowed to continue its currently ongoing open season before the Commission has an opportunity to consider the appropriate structure for PG&amp;E’s gas operations after the end of the Gas Accord on December 31, 2002.  In ordering PG&amp;E to cease its open season, ALJ Brown observes that permitting PG&amp;E to proceed with the open season “would leave potential bidders in an untenable position – forced to consider entering into long-term business arrangements when they cannot know the conditions that will apply.”  ALJ Brown Alternate at 13.  Commissioners Bilas and Brown acknowledge that permitting PG&amp;E to proceed with its open season “will leave potential bidders in the position of considering long-term business arrangements when they do not know precisely the conditions that will apply.”  Bilas Draft at 13; Commissioner Brown Alternate at 13.  Yet, Commissioners Bilas and Brown suggest that nevertheless it would be appropriate to permit PG&amp;E to proceed with its open season, albeit with conditions.  Commissioners Bilas and Brown apparently take solace in the fact that in previous situations, parties signed long-term contracts with rates being subject to change in subsequent rate cases.  </w:t>
      </w:r>
      <w:r>
        <w:rPr>
          <w:i/>
        </w:rPr>
        <w:t>Ibid.</w:t>
      </w:r>
      <w:r>
        <w:rPr/>
        <w:t xml:space="preserve"> at 13.  This leads Commissioners Bilas and Brown to conclude that requiring customers to bid for capacity with the lack of certainty that exists here “is not an unusual situation.”  </w:t>
      </w:r>
      <w:r>
        <w:rPr>
          <w:i/>
        </w:rPr>
        <w:t>Ibid.</w:t>
      </w:r>
    </w:p>
    <w:p>
      <w:pPr>
        <w:pStyle w:val="BodyText"/>
        <w:rPr/>
      </w:pPr>
      <w:r>
        <w:rPr/>
        <w:t>Contrary to the view expressed in the Bilas Draft and the Commissioner Brown Alternate, the situation here is very different from instances in which customers have been asked to sign long-term contracts with rates being subject to change from time to time.  Here, the entire structure of PG&amp;E’s gas operations will be an open issue in the Gas Accord II proceedings.  Indeed, NCGC anticipates advocating rebundling of PG&amp;E’s backbone transmission system and the elimination of the intrastate PG&amp;E city-gate that has benefited marketers to the detriment of end users.  Virtually every term and condition of service on the PG&amp;E system is potentially at issue in the Gas Accord II proceeding.  Thus, the current situation is not analogous to situations in which customers are asked to bid for capacity on a long term basis with all but rates being secured by contract.</w:t>
      </w:r>
    </w:p>
    <w:p>
      <w:pPr>
        <w:pStyle w:val="BodyText"/>
        <w:rPr/>
      </w:pPr>
      <w:r>
        <w:rPr/>
        <w:t>As a result of the inordinate uncertainty, PG&amp;E's open season imposes a heavy burden on PG&amp;E customers.  They are forced to make a Hobson's choice.  If they bid for long-term capacity, they may subject themselves to a long term commitment to take capacity subject to terms which are not yet decided and which may make holding capacity untenable.  On the other hand, if the customers fail to bid for capacity, they run the risk of being denied capacity rights, thereby exposing themselves to the inflated PG&amp;E city-gate prices charged by marketers.</w:t>
      </w:r>
    </w:p>
    <w:p>
      <w:pPr>
        <w:pStyle w:val="BodyText"/>
        <w:rPr/>
      </w:pPr>
      <w:r>
        <w:rPr/>
        <w:t>The Hobson's choice, in itself, is a burden on PG&amp;E customers.  Furthermore, the process of making the choice is costly.  Each customer, including the NCGC members, Redding, Modesto Irrigation District, Turlock Irrigation District, Silicon Valley Power, and the Northern California Power Agency, will be required to devote many hours of staff time to making what they desperately hope will be a correct decision.</w:t>
      </w:r>
    </w:p>
    <w:p>
      <w:pPr>
        <w:pStyle w:val="BodyText"/>
        <w:rPr/>
      </w:pPr>
      <w:r>
        <w:rPr/>
        <w:t xml:space="preserve">Clearly, given the onerous burden imposed by PG&amp;E's open season on customers, the Commission should approve the open season only if it can identify benefits that would be obtained by permitting PG&amp;E to proceed with the open season and finds that the benefits outweigh the burdens.  Neither the Bilas Draft nor the Commissioner Brown Alternate identify any benefits, let alone find that the benefits outweigh the burdens.  The Bilas Draft and Commissioner Brown Alternate only offer the observation "that PG&amp;E's stated goals of providing its customers with options to compare against the offerings of interstate pipelines and determining the need for interstate capacity additions are worthwhile goals that we should support."  </w:t>
      </w:r>
      <w:r>
        <w:rPr>
          <w:i/>
        </w:rPr>
        <w:t>Ibid.</w:t>
      </w:r>
      <w:r>
        <w:rPr/>
        <w:t xml:space="preserve">  This observation misses the point.  It is not necessary to have an open season now in order to provide PG&amp;E customers "with options to compare against the offerings of interstate pipelines."  This could be done after the expedited proceeding proposed in ALJ Brown's Alternate.  Likewise, while having an open season may be helpful in "determining the need for intrastate capacity additions," that could also be accomplished by delaying the conduct of an open season until after the completion of the expedited proceeding proposed in ALJ Brown's Alternate.</w:t>
      </w:r>
    </w:p>
    <w:p>
      <w:pPr>
        <w:pStyle w:val="BodyText"/>
        <w:rPr/>
      </w:pPr>
      <w:r>
        <w:rPr/>
        <w:t>Absent an identification of clear benefits that would flow from conducting an open season now rather than after the expedited proceeding, customers should not be forced to bear the undue burden of participating in the open season now.</w:t>
      </w:r>
    </w:p>
    <w:p>
      <w:pPr>
        <w:pStyle w:val="BodyText"/>
        <w:rPr/>
      </w:pPr>
      <w:r>
        <w:rPr/>
        <w:t>If the PG&amp;E open season is delayed, the burden of participation would not only be reduced.  It might be entirely eliminated.  The current Gas Accord structure has imposed costs on end use customers to the benefit of marketers and traders that acquired PG&amp;E backbone capacity in the last PG&amp;E open season.  PG&amp;E city-gate prices have been substantially higher than Malin prices plus backbone transportation costs.  The basis spread has been profit for marketers.  In the expedited proceeding proposed by ALJ Brown, NCGC anticipates urging that the PG&amp;E city-gate be eliminated and that customers be given direct access to interstate pipeline delivery points.  If this position is adopted by the Commission, not only will the PG&amp;E open season be deferred from now until such time as the terms and conditions of service are better known.  The burden of participating in the open season will be eliminated completely.</w:t>
      </w:r>
      <w:r>
        <w:br w:type="page"/>
      </w:r>
    </w:p>
    <w:p>
      <w:pPr>
        <w:pStyle w:val="BodyText"/>
        <w:spacing w:before="0" w:after="0"/>
        <w:rPr/>
      </w:pPr>
      <w:r>
        <w:rPr/>
        <w:t>Accordingly, NCGC respectfully urges the Commission to adopt ALJ Brown's Alternate and to order PG&amp;E to cease its ill-conceived open season.</w:t>
      </w:r>
    </w:p>
    <w:tbl>
      <w:tblPr>
        <w:tblW w:w="9324" w:type="dxa"/>
        <w:jc w:val="center"/>
        <w:tblInd w:w="0" w:type="dxa"/>
        <w:tblLayout w:type="fixed"/>
        <w:tblCellMar>
          <w:top w:w="0" w:type="dxa"/>
          <w:start w:w="108" w:type="dxa"/>
          <w:bottom w:w="0" w:type="dxa"/>
          <w:end w:w="108" w:type="dxa"/>
        </w:tblCellMar>
      </w:tblPr>
      <w:tblGrid>
        <w:gridCol w:w="4752"/>
        <w:gridCol w:w="4572"/>
      </w:tblGrid>
      <w:tr>
        <w:trPr/>
        <w:tc>
          <w:tcPr>
            <w:tcW w:w="4752" w:type="dxa"/>
            <w:tcBorders/>
          </w:tcPr>
          <w:p>
            <w:pPr>
              <w:pStyle w:val="PleadingSignature"/>
              <w:snapToGrid w:val="false"/>
              <w:rPr/>
            </w:pPr>
            <w:r>
              <w:rPr/>
            </w:r>
            <w:bookmarkStart w:id="0" w:name="_zzmpFIXED_SignatureTable"/>
            <w:bookmarkStart w:id="1" w:name="_zzmpFIXED_SignatureTable"/>
            <w:bookmarkEnd w:id="1"/>
          </w:p>
          <w:p>
            <w:pPr>
              <w:pStyle w:val="PleadingSignature"/>
              <w:spacing w:before="720" w:after="0"/>
              <w:rPr/>
            </w:pPr>
            <w:r>
              <w:rPr/>
            </w:r>
          </w:p>
          <w:p>
            <w:pPr>
              <w:pStyle w:val="PleadingSignature"/>
              <w:rPr/>
            </w:pPr>
            <w:r>
              <w:rPr/>
              <w:br/>
              <w:br/>
              <w:br/>
              <w:br/>
              <w:br/>
            </w:r>
          </w:p>
          <w:p>
            <w:pPr>
              <w:pStyle w:val="PleadingSignature"/>
              <w:rPr/>
            </w:pPr>
            <w:r>
              <w:rPr/>
            </w:r>
          </w:p>
          <w:p>
            <w:pPr>
              <w:pStyle w:val="PleadingSignature"/>
              <w:rPr/>
            </w:pPr>
            <w:r>
              <w:rPr/>
            </w:r>
          </w:p>
          <w:p>
            <w:pPr>
              <w:pStyle w:val="PleadingSignature"/>
              <w:rPr/>
            </w:pPr>
            <w:r>
              <w:rPr/>
              <w:t>Dated:</w:t>
              <w:tab/>
              <w:t xml:space="preserve"> July 10, 2001</w:t>
            </w:r>
          </w:p>
          <w:p>
            <w:pPr>
              <w:pStyle w:val="PleadingSignature"/>
              <w:rPr/>
            </w:pPr>
            <w:r>
              <w:rPr/>
            </w:r>
          </w:p>
        </w:tc>
        <w:tc>
          <w:tcPr>
            <w:tcW w:w="4572" w:type="dxa"/>
            <w:tcBorders/>
          </w:tcPr>
          <w:p>
            <w:pPr>
              <w:pStyle w:val="PleadingSignature"/>
              <w:rPr/>
            </w:pPr>
            <w:r>
              <w:rPr/>
              <w:t>Respectfully submitted,</w:t>
            </w:r>
          </w:p>
          <w:p>
            <w:pPr>
              <w:pStyle w:val="PleadingSignature"/>
              <w:spacing w:before="720" w:after="0"/>
              <w:rPr>
                <w:u w:val="single"/>
              </w:rPr>
            </w:pPr>
            <w:r>
              <w:rPr>
                <w:u w:val="single"/>
              </w:rPr>
              <w:tab/>
              <w:tab/>
              <w:tab/>
              <w:tab/>
              <w:tab/>
            </w:r>
          </w:p>
          <w:p>
            <w:pPr>
              <w:pStyle w:val="Normal"/>
              <w:keepNext w:val="true"/>
              <w:keepLines/>
              <w:suppressAutoHyphens w:val="true"/>
              <w:rPr/>
            </w:pPr>
            <w:r>
              <w:rPr/>
              <w:t>Norman A. Pedersen, Esq.</w:t>
              <w:br/>
            </w:r>
            <w:r>
              <w:rPr>
                <w:b/>
              </w:rPr>
              <w:t>JONES, DAY, REAVIS &amp; POGUE</w:t>
            </w:r>
            <w:r>
              <w:rPr/>
              <w:br/>
              <w:t>555 West Fifth Street, Suite 4600</w:t>
              <w:br/>
              <w:t>Los Angeles, California 90013-1025</w:t>
              <w:br/>
              <w:t>Telephone: (213) 489-3939</w:t>
              <w:br/>
              <w:t>Facsimile:  (213) 243-2539</w:t>
            </w:r>
          </w:p>
          <w:p>
            <w:pPr>
              <w:pStyle w:val="Normal"/>
              <w:keepNext w:val="true"/>
              <w:keepLines/>
              <w:suppressAutoHyphens w:val="true"/>
              <w:rPr/>
            </w:pPr>
            <w:r>
              <w:rPr/>
              <w:t xml:space="preserve">e-mail:  </w:t>
            </w:r>
            <w:hyperlink r:id="rId7">
              <w:r>
                <w:rPr>
                  <w:rStyle w:val="Hyperlink"/>
                </w:rPr>
                <w:t>napedersen@jonesday.com</w:t>
              </w:r>
            </w:hyperlink>
          </w:p>
          <w:p>
            <w:pPr>
              <w:pStyle w:val="Normal"/>
              <w:keepNext w:val="true"/>
              <w:keepLines/>
              <w:suppressAutoHyphens w:val="true"/>
              <w:rPr/>
            </w:pPr>
            <w:r>
              <w:rPr/>
            </w:r>
          </w:p>
          <w:p>
            <w:pPr>
              <w:pStyle w:val="Normal"/>
              <w:keepNext w:val="true"/>
              <w:keepLines/>
              <w:suppressAutoHyphens w:val="true"/>
              <w:rPr/>
            </w:pPr>
            <w:r>
              <w:rPr/>
              <w:t xml:space="preserve">Attorneys for </w:t>
            </w:r>
          </w:p>
          <w:p>
            <w:pPr>
              <w:pStyle w:val="PleadingSignature"/>
              <w:rPr>
                <w:b/>
              </w:rPr>
            </w:pPr>
            <w:r>
              <w:rPr>
                <w:b/>
              </w:rPr>
              <w:t>Northern California Generation Coalition</w:t>
              <w:br/>
              <w:br/>
            </w:r>
          </w:p>
        </w:tc>
      </w:tr>
    </w:tbl>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296"/>
          <w:pgNumType w:start="1" w:fmt="decimal"/>
          <w:formProt w:val="false"/>
          <w:titlePg/>
          <w:textDirection w:val="lrTb"/>
          <w:docGrid w:type="default" w:linePitch="360" w:charSpace="0"/>
        </w:sectPr>
      </w:pPr>
    </w:p>
    <w:p>
      <w:pPr>
        <w:pStyle w:val="Normal"/>
        <w:rPr>
          <w:u w:val="single"/>
        </w:rPr>
      </w:pPr>
      <w:r>
        <w:rPr>
          <w:u w:val="single"/>
        </w:rPr>
      </w:r>
    </w:p>
    <w:p>
      <w:pPr>
        <w:pStyle w:val="Heading"/>
        <w:rPr>
          <w:rFonts w:ascii="Times New Roman" w:hAnsi="Times New Roman" w:cs="Times New Roman"/>
          <w:u w:val="single"/>
        </w:rPr>
      </w:pPr>
      <w:r>
        <w:rPr>
          <w:rFonts w:cs="Times New Roman" w:ascii="Times New Roman" w:hAnsi="Times New Roman"/>
          <w:u w:val="single"/>
        </w:rPr>
        <w:t>certificate of service</w:t>
      </w:r>
    </w:p>
    <w:p>
      <w:pPr>
        <w:pStyle w:val="Normal"/>
        <w:rPr>
          <w:rFonts w:ascii="Times New Roman" w:hAnsi="Times New Roman" w:cs="Times New Roman"/>
          <w:u w:val="single"/>
        </w:rPr>
      </w:pPr>
      <w:r>
        <w:rPr>
          <w:rFonts w:cs="Times New Roman"/>
          <w:u w:val="single"/>
        </w:rPr>
      </w:r>
    </w:p>
    <w:p>
      <w:pPr>
        <w:pStyle w:val="BodyTextFirstIndent2"/>
        <w:rPr/>
      </w:pPr>
      <w:r>
        <w:rPr/>
        <w:t xml:space="preserve">I hereby certify that I have this day served a copy of the </w:t>
      </w:r>
      <w:r>
        <w:rPr>
          <w:b/>
        </w:rPr>
        <w:t xml:space="preserve">NORTHERN CALIFORNIA GENERATION COALITION COMMENT ON DRAFT DECISIONS </w:t>
      </w:r>
      <w:r>
        <w:rPr/>
        <w:t xml:space="preserve">on the service list for </w:t>
      </w:r>
      <w:r>
        <w:rPr>
          <w:b/>
        </w:rPr>
        <w:t>A.01-06-020</w:t>
      </w:r>
      <w:r>
        <w:rPr/>
        <w:t xml:space="preserve"> by mailing a properly addressed copy by first-class mail with postage prepared to each party.</w:t>
      </w:r>
    </w:p>
    <w:p>
      <w:pPr>
        <w:pStyle w:val="BodyTextFirstIndent2"/>
        <w:rPr/>
      </w:pPr>
      <w:r>
        <w:rPr/>
        <w:t>Executed on July 10, 2001 at Los Angeles, California.</w:t>
      </w:r>
    </w:p>
    <w:p>
      <w:pPr>
        <w:pStyle w:val="Signature"/>
        <w:rPr/>
      </w:pPr>
      <w:r>
        <w:rPr/>
        <w:tab/>
      </w:r>
    </w:p>
    <w:p>
      <w:pPr>
        <w:pStyle w:val="Signature"/>
        <w:ind w:hanging="540" w:start="6480" w:end="0"/>
        <w:rPr/>
      </w:pPr>
      <w:r>
        <w:rPr/>
        <w:t>Norman A. Pedersen</w:t>
      </w:r>
    </w:p>
    <w:p>
      <w:pPr>
        <w:pStyle w:val="Signature"/>
        <w:ind w:start="0" w:end="0"/>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EngravrsRoman BT">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sz w:val="16"/>
      </w:rPr>
    </w:pPr>
    <w:r>
      <w:rPr>
        <w:sz w:val="16"/>
      </w:rPr>
      <w:t>LA-1093685v1</w:t>
    </w:r>
  </w:p>
  <w:p>
    <w:pPr>
      <w:pStyle w:val="Footer"/>
      <w:spacing w:lineRule="exact" w:line="200"/>
      <w:rPr/>
    </w:pPr>
    <w:r>
      <w:rPr>
        <w:rStyle w:val="zzmpTrailerItem"/>
      </w:rPr>
      <w:t>LA-1111428v1</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LA-1111428v1</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LA-1111428v1</w:t>
    </w: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LA-1111428v1</w:t>
    </w: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LA-1111428v1</w:t>
    </w: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LA-1111428v1</w:t>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color w:val="auto"/>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720" w:hanging="720"/>
      </w:pPr>
      <w:rPr>
        <w:i w:val="false"/>
        <w:u w:val="none"/>
        <w:b/>
      </w:rPr>
    </w:lvl>
    <w:lvl w:ilvl="1">
      <w:start w:val="1"/>
      <w:numFmt w:val="upperLetter"/>
      <w:lvlText w:val="%2."/>
      <w:lvlJc w:val="start"/>
      <w:pPr>
        <w:tabs>
          <w:tab w:val="num" w:pos="720"/>
        </w:tabs>
        <w:ind w:start="1440" w:hanging="720"/>
      </w:pPr>
      <w:rPr>
        <w:i w:val="false"/>
        <w:u w:val="none"/>
        <w:b/>
      </w:rPr>
    </w:lvl>
    <w:lvl w:ilvl="2">
      <w:start w:val="1"/>
      <w:numFmt w:val="decimal"/>
      <w:lvlText w:val="%3."/>
      <w:lvlJc w:val="start"/>
      <w:pPr>
        <w:tabs>
          <w:tab w:val="num" w:pos="720"/>
        </w:tabs>
        <w:ind w:start="2160" w:hanging="720"/>
      </w:pPr>
      <w:rPr>
        <w:u w:val="none"/>
        <w:b w:val="false"/>
      </w:rPr>
    </w:lvl>
    <w:lvl w:ilvl="3">
      <w:start w:val="1"/>
      <w:numFmt w:val="lowerLetter"/>
      <w:lvlText w:val="%4."/>
      <w:lvlJc w:val="start"/>
      <w:pPr>
        <w:tabs>
          <w:tab w:val="num" w:pos="720"/>
        </w:tabs>
        <w:ind w:start="2880" w:hanging="720"/>
      </w:pPr>
      <w:rPr>
        <w:u w:val="none"/>
        <w:b w:val="false"/>
      </w:rPr>
    </w:lvl>
    <w:lvl w:ilvl="4">
      <w:start w:val="1"/>
      <w:numFmt w:val="decimal"/>
      <w:lvlText w:val="(%5)"/>
      <w:lvlJc w:val="start"/>
      <w:pPr>
        <w:tabs>
          <w:tab w:val="num" w:pos="720"/>
        </w:tabs>
        <w:ind w:start="3600" w:hanging="720"/>
      </w:pPr>
      <w:rPr>
        <w:u w:val="none"/>
        <w:b w:val="false"/>
      </w:rPr>
    </w:lvl>
    <w:lvl w:ilvl="5">
      <w:start w:val="1"/>
      <w:numFmt w:val="lowerLetter"/>
      <w:lvlText w:val="(%6)"/>
      <w:lvlJc w:val="start"/>
      <w:pPr>
        <w:tabs>
          <w:tab w:val="num" w:pos="720"/>
        </w:tabs>
        <w:ind w:start="4320" w:hanging="720"/>
      </w:pPr>
      <w:rPr>
        <w:u w:val="none"/>
        <w:b w:val="false"/>
      </w:rPr>
    </w:lvl>
    <w:lvl w:ilvl="6">
      <w:start w:val="1"/>
      <w:numFmt w:val="lowerRoman"/>
      <w:lvlText w:val="(%7)"/>
      <w:lvlJc w:val="start"/>
      <w:pPr>
        <w:tabs>
          <w:tab w:val="num" w:pos="720"/>
        </w:tabs>
        <w:ind w:start="5040" w:hanging="720"/>
      </w:pPr>
      <w:rPr>
        <w:u w:val="none"/>
        <w:b w:val="false"/>
      </w:rPr>
    </w:lvl>
    <w:lvl w:ilvl="7">
      <w:start w:val="1"/>
      <w:numFmt w:val="lowerLetter"/>
      <w:lvlText w:val="%8)"/>
      <w:lvlJc w:val="start"/>
      <w:pPr>
        <w:tabs>
          <w:tab w:val="num" w:pos="720"/>
        </w:tabs>
        <w:ind w:start="5760" w:hanging="720"/>
      </w:pPr>
      <w:rPr>
        <w:u w:val="none"/>
        <w:b w:val="false"/>
      </w:rPr>
    </w:lvl>
    <w:lvl w:ilvl="8">
      <w:start w:val="1"/>
      <w:numFmt w:val="lowerRoman"/>
      <w:lvlText w:val="%9)"/>
      <w:lvlJc w:val="start"/>
      <w:pPr>
        <w:tabs>
          <w:tab w:val="num" w:pos="720"/>
        </w:tabs>
        <w:ind w:start="6480" w:hanging="720"/>
      </w:pPr>
      <w:rPr>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85TrailerDate" w:val="0"/>
    <w:docVar w:name="85TrailerDateField" w:val="0"/>
    <w:docVar w:name="85TrailerDraft" w:val="0"/>
    <w:docVar w:name="85TrailerTime" w:val="0"/>
    <w:docVar w:name="85TrailerType" w:val="100"/>
    <w:docVar w:name="bpfile" w:val="PleadingCAApp.mbp"/>
    <w:docVar w:name="HeadingStyles" w:val="||Heading|3|3|0|1|0|41||1|0|33||1|0|32||1|0|32||1|0|32||1|0|32||1|0|32||1|0|32||1|0|32||"/>
    <w:docVar w:name="MPDocID" w:val="::ODMA\PCDOCS\LA\1111428\1"/>
    <w:docVar w:name="NewDocStampType" w:val="1"/>
    <w:docVar w:name="Pleading_1_Author" w:val="1200424"/>
    <w:docVar w:name="Pleading_1_CourtTitle" w:val="IN THE&#10;COURT OF APPEAL OF THE STATE OF CALIFORNIA&#10;IN AND FOR THE&#10;_____________ APPELLATE DISTRICT, _____________"/>
    <w:docVar w:name="Pleading_1_Level0" w:val="5"/>
    <w:docVar w:name="Pleading_1_Level0String" w:val="California"/>
    <w:docVar w:name="Pleading_1_Level1" w:val="19"/>
    <w:docVar w:name="Pleading_1_Level1String" w:val="Court of Appeal"/>
    <w:docVar w:name="PleadingCaption_1_AppealFromCourtTitle" w:val="On Appeal From the Superior Court&#10;of California"/>
    <w:docVar w:name="PleadingCaption_1_DisplayName" w:val="California Court of Appeals - Petitioner - "/>
    <w:docVar w:name="PleadingCaption_1_ID" w:val="1"/>
    <w:docVar w:name="PleadingCaption_1_Party1Title" w:val="Petitioner"/>
    <w:docVar w:name="PleadingCaption_1_Party2Title" w:val="Respondent"/>
    <w:docVar w:name="PleadingCaption_1_Position" w:val="1"/>
    <w:docVar w:name="PleadingCaption_1_TypeID" w:val="28"/>
    <w:docVar w:name="PleadingCounsel_1_AttorneyNames" w:val="Norman A. Pedersen"/>
    <w:docVar w:name="PleadingCounsel_1_ClientPartyTitle" w:val="Respondent"/>
    <w:docVar w:name="PleadingCounsel_1_DisplayName" w:val="Norman A. Pedersen"/>
    <w:docVar w:name="PleadingCounsel_1_FirmAddress" w:val="North Point&#10;901 Lakeside Avenue&#10;Cleveland, OH  44114-1190"/>
    <w:docVar w:name="PleadingCounsel_1_FirmFax" w:val="(216) 579-0212"/>
    <w:docVar w:name="PleadingCounsel_1_FirmName" w:val="Jones, Day, Reavis &amp; Pogue"/>
    <w:docVar w:name="PleadingCounsel_1_FirmPhone" w:val="(216) 586-3939"/>
    <w:docVar w:name="PleadingCounsel_1_ID" w:val="1"/>
    <w:docVar w:name="PleadingCounsel_1_Position" w:val="1"/>
    <w:docVar w:name="PleadingCounsel_1_Signers" w:val="0|-1|Norman A. Pedersen|1200424|"/>
    <w:docVar w:name="PleadingCounsel_1_TypeID" w:val="3"/>
    <w:docVar w:name="PleadingSig_1_DateType" w:val="MMMM __, yyyy"/>
    <w:docVar w:name="PleadingSig_1_FirmAddress" w:val="North Point&#10;901 Lakeside Avenue&#10;Cleveland, OH  44114-1190"/>
    <w:docVar w:name="PleadingSig_1_FirmCity" w:val="Cleveland"/>
    <w:docVar w:name="PleadingSig_1_FirmFax" w:val="(216) 579-0212"/>
    <w:docVar w:name="PleadingSig_1_FirmName" w:val="JONES, DAY, REAVIS &amp; POGUE"/>
    <w:docVar w:name="PleadingSig_1_FirmPhone" w:val="(216) 586-3939"/>
    <w:docVar w:name="PleadingSig_1_FirmState" w:val="Ohio"/>
    <w:docVar w:name="PleadingSig_1_ID" w:val="1"/>
    <w:docVar w:name="PleadingSig_1_PartyTitle" w:val="Respondent"/>
    <w:docVar w:name="PleadingSig_1_Position" w:val="2"/>
    <w:docVar w:name="PleadingSig_1_Signer" w:val="Norman A. Pedersen"/>
    <w:docVar w:name="PleadingSig_1_Signer2" w:val="Norman A. Pedersen"/>
    <w:docVar w:name="PleadingSig_1_SignerEMail" w:val="napedersen@jonesday.com"/>
    <w:docVar w:name="PleadingSig_1_Signers" w:val="0|-1|Norman A. Pedersen|1200424|"/>
    <w:docVar w:name="PleadingSig_1_TypeID" w:val="31"/>
    <w:docVar w:name="zzmpFixedCurScheme" w:val="ingStyles"/>
    <w:docVar w:name="zzmpFixedCurScheme_9.0" w:val="1HeadingStyles"/>
    <w:docVar w:name="zzmpLTFontsClean" w:val="True"/>
    <w:docVar w:name="zzmpnSession" w:val="0.825817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rFonts w:ascii="Times New Roman Bold" w:hAnsi="Times New Roman Bold" w:cs="Times New Roman Bold"/>
      <w:b/>
      <w:caps/>
      <w:kern w:val="2"/>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Times New Roman Bold" w:hAnsi="Times New Roman Bold" w:cs="Times New Roman Bold"/>
      <w:b/>
      <w:i w:val="false"/>
      <w:caps w:val="false"/>
      <w:smallCaps w:val="false"/>
      <w:color w:val="auto"/>
      <w:sz w:val="24"/>
      <w:u w:val="none"/>
    </w:rPr>
  </w:style>
  <w:style w:type="character" w:styleId="WW8Num12z1">
    <w:name w:val="WW8Num12z1"/>
    <w:qFormat/>
    <w:rPr>
      <w:rFonts w:ascii="Times New Roman" w:hAnsi="Times New Roman" w:cs="Times New Roman"/>
      <w:b w:val="false"/>
      <w:caps w:val="false"/>
      <w:smallCaps w:val="false"/>
      <w:color w:val="auto"/>
      <w:sz w:val="24"/>
      <w:u w:val="none"/>
    </w:rPr>
  </w:style>
  <w:style w:type="character" w:styleId="WW8Num12z2">
    <w:name w:val="WW8Num12z2"/>
    <w:qFormat/>
    <w:rPr>
      <w:rFonts w:ascii="Times New Roman" w:hAnsi="Times New Roman" w:cs="Times New Roman"/>
      <w:b w:val="false"/>
      <w:i w:val="false"/>
      <w:caps w:val="false"/>
      <w:smallCaps w:val="false"/>
      <w:color w:val="auto"/>
      <w:sz w:val="24"/>
      <w:u w:val="none"/>
    </w:rPr>
  </w:style>
  <w:style w:type="character" w:styleId="WW8Num13z0">
    <w:name w:val="WW8Num13z0"/>
    <w:qFormat/>
    <w:rPr>
      <w:rFonts w:ascii="Times New Roman Bold" w:hAnsi="Times New Roman Bold" w:cs="Times New Roman Bold"/>
      <w:b w:val="false"/>
      <w:color w:val="auto"/>
      <w:sz w:val="28"/>
      <w:u w:val="none"/>
    </w:rPr>
  </w:style>
  <w:style w:type="character" w:styleId="WW8Num13z1">
    <w:name w:val="WW8Num13z1"/>
    <w:qFormat/>
    <w:rPr>
      <w:rFonts w:ascii="Times New Roman" w:hAnsi="Times New Roman" w:cs="Times New Roman"/>
      <w:b w:val="false"/>
      <w:color w:val="auto"/>
      <w:sz w:val="28"/>
      <w:u w:val="none"/>
    </w:rPr>
  </w:style>
  <w:style w:type="character" w:styleId="WW8Num13z2">
    <w:name w:val="WW8Num13z2"/>
    <w:qFormat/>
    <w:rPr>
      <w:rFonts w:ascii="Times New Roman" w:hAnsi="Times New Roman" w:cs="Times New Roman"/>
      <w:b w:val="false"/>
      <w:caps w:val="false"/>
      <w:smallCaps w:val="false"/>
      <w:color w:val="auto"/>
      <w:sz w:val="28"/>
      <w:u w:val="none"/>
    </w:rPr>
  </w:style>
  <w:style w:type="character" w:styleId="WW8Num13z5">
    <w:name w:val="WW8Num13z5"/>
    <w:qFormat/>
    <w:rPr>
      <w:rFonts w:ascii="Times New Roman" w:hAnsi="Times New Roman" w:cs="Times New Roman"/>
      <w:b w:val="false"/>
      <w:i w:val="false"/>
      <w:caps w:val="false"/>
      <w:smallCaps w:val="false"/>
      <w:color w:val="auto"/>
      <w:sz w:val="28"/>
      <w:u w:val="none"/>
    </w:rPr>
  </w:style>
  <w:style w:type="character" w:styleId="WW8Num14z0">
    <w:name w:val="WW8Num14z0"/>
    <w:qFormat/>
    <w:rPr>
      <w:rFonts w:ascii="Times New Roman" w:hAnsi="Times New Roman" w:cs="Times New Roman"/>
      <w:b/>
      <w:i w:val="false"/>
      <w:caps w:val="false"/>
      <w:smallCaps w:val="false"/>
      <w:color w:val="auto"/>
      <w:sz w:val="24"/>
      <w:u w:val="none"/>
    </w:rPr>
  </w:style>
  <w:style w:type="character" w:styleId="WW8Num14z8">
    <w:name w:val="WW8Num14z8"/>
    <w:qFormat/>
    <w:rPr>
      <w:rFonts w:ascii="Times New Roman" w:hAnsi="Times New Roman" w:cs="Times New Roman"/>
      <w:b w:val="false"/>
      <w:i w:val="false"/>
      <w:caps w:val="false"/>
      <w:smallCaps w:val="false"/>
      <w:color w:val="auto"/>
      <w:sz w:val="24"/>
      <w:u w:val="none"/>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sz w:val="24"/>
    </w:rPr>
  </w:style>
  <w:style w:type="character" w:styleId="EndnoteCharacters">
    <w:name w:val="Endnote Characters"/>
    <w:basedOn w:val="DefaultParagraphFont"/>
    <w:qFormat/>
    <w:rPr>
      <w:rFonts w:ascii="Times New Roman" w:hAnsi="Times New Roman" w:cs="Times New Roman"/>
      <w:sz w:val="24"/>
      <w:vertAlign w:val="superscript"/>
    </w:rPr>
  </w:style>
  <w:style w:type="character" w:styleId="FollowedHyperlink">
    <w:name w:val="FollowedHyperlink"/>
    <w:basedOn w:val="DefaultParagraphFont"/>
    <w:rPr>
      <w:rFonts w:ascii="Times New Roman" w:hAnsi="Times New Roman" w:cs="Times New Roman"/>
      <w:color w:val="800080"/>
      <w:sz w:val="24"/>
      <w:u w:val="single"/>
    </w:rPr>
  </w:style>
  <w:style w:type="character" w:styleId="FootnoteCharacters">
    <w:name w:val="Footnote Characters"/>
    <w:basedOn w:val="DefaultParagraphFont"/>
    <w:qFormat/>
    <w:rPr>
      <w:rFonts w:ascii="Times New Roman" w:hAnsi="Times New Roman" w:cs="Times New Roman"/>
      <w:sz w:val="24"/>
      <w:vertAlign w:val="superscript"/>
    </w:rPr>
  </w:style>
  <w:style w:type="character" w:styleId="Hyperlink">
    <w:name w:val="Hyperlink"/>
    <w:basedOn w:val="DefaultParagraphFont"/>
    <w:rPr>
      <w:rFonts w:ascii="Times New Roman" w:hAnsi="Times New Roman" w:cs="Times New Roman"/>
      <w:color w:val="0000FF"/>
      <w:sz w:val="24"/>
      <w:u w:val="single"/>
    </w:rPr>
  </w:style>
  <w:style w:type="character" w:styleId="LineNumber">
    <w:name w:val="line number"/>
    <w:basedOn w:val="DefaultParagraphFont"/>
    <w:rPr>
      <w:rFonts w:ascii="Times New Roman" w:hAnsi="Times New Roman" w:cs="Times New Roman"/>
      <w:sz w:val="24"/>
    </w:rPr>
  </w:style>
  <w:style w:type="character" w:styleId="PageNumber">
    <w:name w:val="page number"/>
    <w:basedOn w:val="DefaultParagraphFont"/>
    <w:rPr>
      <w:sz w:val="24"/>
    </w:rPr>
  </w:style>
  <w:style w:type="character" w:styleId="Strong">
    <w:name w:val="Strong"/>
    <w:basedOn w:val="DefaultParagraphFont"/>
    <w:qFormat/>
    <w:rPr>
      <w:rFonts w:ascii="Times New Roman" w:hAnsi="Times New Roman" w:cs="Times New Roman"/>
      <w:b/>
      <w:sz w:val="24"/>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0" w:after="240"/>
      <w:jc w:val="center"/>
    </w:pPr>
    <w:rPr>
      <w:rFonts w:ascii="Times New Roman Bold" w:hAnsi="Times New Roman Bold" w:cs="Times New Roman Bold"/>
      <w:b/>
      <w:caps/>
      <w:sz w:val="24"/>
    </w:rPr>
  </w:style>
  <w:style w:type="paragraph" w:styleId="BodyText">
    <w:name w:val="Body Text"/>
    <w:basedOn w:val="Normal"/>
    <w:pPr>
      <w:spacing w:lineRule="auto" w:line="480" w:before="0" w:after="120"/>
      <w:ind w:firstLine="720" w:start="0" w:end="0"/>
    </w:pPr>
    <w:rPr/>
  </w:style>
  <w:style w:type="paragraph" w:styleId="List">
    <w:name w:val="List"/>
    <w:basedOn w:val="Normal"/>
    <w:pPr>
      <w:ind w:hanging="360" w:start="360" w:end="0"/>
    </w:pPr>
    <w:rPr/>
  </w:style>
  <w:style w:type="paragraph" w:styleId="Caption">
    <w:name w:val="caption"/>
    <w:basedOn w:val="Normal"/>
    <w:next w:val="BodyText"/>
    <w:qFormat/>
    <w:pPr>
      <w:spacing w:before="0" w:after="240"/>
      <w:jc w:val="center"/>
    </w:pPr>
    <w:rPr>
      <w:rFonts w:ascii="Times New Roman Bold" w:hAnsi="Times New Roman Bold" w:cs="Times New Roman Bold"/>
      <w:b/>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4"/>
      <w:szCs w:val="20"/>
      <w:lang w:val="en-US" w:eastAsia="zh-CN" w:bidi="hi-IN"/>
    </w:rPr>
  </w:style>
  <w:style w:type="paragraph" w:styleId="BlockText">
    <w:name w:val="Block Text"/>
    <w:basedOn w:val="Normal"/>
    <w:qFormat/>
    <w:pPr>
      <w:spacing w:lineRule="auto" w:line="480" w:before="0" w:after="120"/>
    </w:pPr>
    <w:rPr/>
  </w:style>
  <w:style w:type="paragraph" w:styleId="BodyText2">
    <w:name w:val="Body Text 2"/>
    <w:basedOn w:val="Normal"/>
    <w:qFormat/>
    <w:pPr>
      <w:spacing w:before="0" w:after="240"/>
      <w:ind w:hanging="0" w:start="720" w:end="0"/>
    </w:pPr>
    <w:rPr/>
  </w:style>
  <w:style w:type="paragraph" w:styleId="BodyText3">
    <w:name w:val="Body Text 3"/>
    <w:basedOn w:val="Normal"/>
    <w:qFormat/>
    <w:pPr>
      <w:spacing w:before="0" w:after="240"/>
      <w:ind w:hanging="720" w:start="1440" w:end="0"/>
    </w:pPr>
    <w:rPr/>
  </w:style>
  <w:style w:type="paragraph" w:styleId="BodyTextFirstIndent">
    <w:name w:val="Body Text First Indent"/>
    <w:basedOn w:val="Normal"/>
    <w:qFormat/>
    <w:pPr>
      <w:spacing w:before="0" w:after="240"/>
      <w:ind w:firstLine="144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lineRule="auto" w:line="480" w:before="0" w:after="240"/>
      <w:ind w:firstLine="720" w:start="0" w:end="0"/>
    </w:pPr>
    <w:rPr/>
  </w:style>
  <w:style w:type="paragraph" w:styleId="BodyTextIndent2">
    <w:name w:val="Body Text Indent 2"/>
    <w:basedOn w:val="Normal"/>
    <w:qFormat/>
    <w:pPr>
      <w:spacing w:lineRule="auto" w:line="480"/>
      <w:ind w:hanging="0" w:start="720" w:end="0"/>
    </w:pPr>
    <w:rPr/>
  </w:style>
  <w:style w:type="paragraph" w:styleId="BodyTextIndent3">
    <w:name w:val="Body Text Indent 3"/>
    <w:basedOn w:val="Normal"/>
    <w:qFormat/>
    <w:pPr>
      <w:spacing w:lineRule="auto" w:line="360"/>
      <w:ind w:hanging="0" w:start="720" w:end="0"/>
    </w:pPr>
    <w:rPr/>
  </w:style>
  <w:style w:type="paragraph" w:styleId="Closing">
    <w:name w:val="Closing"/>
    <w:basedOn w:val="Normal"/>
    <w:next w:val="Signature"/>
    <w:qFormat/>
    <w:pPr>
      <w:keepNext w:val="true"/>
      <w:spacing w:before="0" w:after="960"/>
      <w:ind w:hanging="0" w:start="4680" w:end="0"/>
    </w:pPr>
    <w:rPr/>
  </w:style>
  <w:style w:type="paragraph" w:styleId="Signature">
    <w:name w:val="Signature"/>
    <w:basedOn w:val="Normal"/>
    <w:pPr>
      <w:tabs>
        <w:tab w:val="clear" w:pos="720"/>
        <w:tab w:val="right" w:pos="9360" w:leader="underscore"/>
      </w:tabs>
      <w:ind w:hanging="0" w:start="4680" w:end="0"/>
    </w:pPr>
    <w:rPr/>
  </w:style>
  <w:style w:type="paragraph" w:styleId="EndnoteText">
    <w:name w:val="endnote text"/>
    <w:basedOn w:val="Normal"/>
    <w:pPr>
      <w:spacing w:before="0" w:after="120"/>
      <w:ind w:firstLine="720" w:start="0" w:end="0"/>
    </w:pPr>
    <w:rPr>
      <w:sz w:val="20"/>
    </w:rPr>
  </w:style>
  <w:style w:type="paragraph" w:styleId="EnvelopeAddress">
    <w:name w:val="envelope address"/>
    <w:basedOn w:val="Normal"/>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z w:val="20"/>
    </w:rPr>
  </w:style>
  <w:style w:type="paragraph" w:styleId="Header">
    <w:name w:val="header"/>
    <w:basedOn w:val="Normal"/>
    <w:pPr>
      <w:tabs>
        <w:tab w:val="clear" w:pos="720"/>
        <w:tab w:val="center" w:pos="4680" w:leader="none"/>
        <w:tab w:val="right" w:pos="9360" w:leader="none"/>
      </w:tabs>
    </w:pPr>
    <w:rPr/>
  </w:style>
  <w:style w:type="paragraph" w:styleId="Index1">
    <w:name w:val="index 1"/>
    <w:basedOn w:val="Normal"/>
    <w:next w:val="BodyText"/>
    <w:pPr>
      <w:ind w:hanging="245" w:start="245" w:end="0"/>
    </w:pPr>
    <w:rPr/>
  </w:style>
  <w:style w:type="paragraph" w:styleId="IndexHeading">
    <w:name w:val="index heading"/>
    <w:basedOn w:val="Normal"/>
    <w:next w:val="Index1"/>
    <w:pPr>
      <w:spacing w:before="0" w:after="240"/>
      <w:jc w:val="center"/>
      <w:outlineLvl w:val="0"/>
    </w:pPr>
    <w:rPr>
      <w:b/>
    </w:rPr>
  </w:style>
  <w:style w:type="paragraph" w:styleId="ListBullet51">
    <w:name w:val="List Bullet 51"/>
    <w:basedOn w:val="Normal"/>
    <w:qFormat/>
    <w:pPr>
      <w:numPr>
        <w:ilvl w:val="0"/>
        <w:numId w:val="6"/>
      </w:numPr>
      <w:tabs>
        <w:tab w:val="clear" w:pos="720"/>
      </w:tabs>
      <w:ind w:hanging="720" w:start="3600" w:end="0"/>
    </w:pPr>
    <w:rPr/>
  </w:style>
  <w:style w:type="paragraph" w:styleId="ListBullet41">
    <w:name w:val="List Bullet 41"/>
    <w:basedOn w:val="Normal"/>
    <w:qFormat/>
    <w:pPr>
      <w:numPr>
        <w:ilvl w:val="0"/>
        <w:numId w:val="7"/>
      </w:numPr>
      <w:tabs>
        <w:tab w:val="clear" w:pos="720"/>
      </w:tabs>
      <w:ind w:hanging="720" w:start="2880" w:end="0"/>
    </w:pPr>
    <w:rPr/>
  </w:style>
  <w:style w:type="paragraph" w:styleId="PlainText">
    <w:name w:val="Plain Text"/>
    <w:basedOn w:val="Normal"/>
    <w:qFormat/>
    <w:pPr/>
    <w:rPr>
      <w:sz w:val="20"/>
    </w:rPr>
  </w:style>
  <w:style w:type="paragraph" w:styleId="Subtitle">
    <w:name w:val="Subtitle"/>
    <w:basedOn w:val="Normal"/>
    <w:next w:val="BodyText"/>
    <w:qFormat/>
    <w:pPr>
      <w:keepNext w:val="true"/>
      <w:spacing w:before="0" w:after="240"/>
      <w:jc w:val="center"/>
    </w:pPr>
    <w:rPr>
      <w:b/>
    </w:rPr>
  </w:style>
  <w:style w:type="paragraph" w:styleId="TableofAuthorities">
    <w:name w:val="Table of Authorities"/>
    <w:basedOn w:val="Normal"/>
    <w:next w:val="Normal"/>
    <w:qFormat/>
    <w:pPr>
      <w:spacing w:before="0" w:after="120"/>
      <w:ind w:hanging="245" w:start="245" w:end="0"/>
    </w:pPr>
    <w:rPr/>
  </w:style>
  <w:style w:type="paragraph" w:styleId="BodyTextFirstIndent3">
    <w:name w:val="Body Text First Indent 3"/>
    <w:basedOn w:val="Normal"/>
    <w:qFormat/>
    <w:pPr>
      <w:spacing w:lineRule="auto" w:line="480" w:before="0" w:after="120"/>
      <w:ind w:firstLine="1440" w:start="0" w:end="0"/>
    </w:pPr>
    <w:rPr/>
  </w:style>
  <w:style w:type="paragraph" w:styleId="ListNumber5">
    <w:name w:val="List Number 5"/>
    <w:basedOn w:val="Normal"/>
    <w:qFormat/>
    <w:pPr>
      <w:numPr>
        <w:ilvl w:val="0"/>
        <w:numId w:val="2"/>
      </w:numPr>
      <w:tabs>
        <w:tab w:val="clear" w:pos="720"/>
      </w:tabs>
    </w:pPr>
    <w:rPr/>
  </w:style>
  <w:style w:type="paragraph" w:styleId="Quote">
    <w:name w:val="Quote"/>
    <w:basedOn w:val="Normal"/>
    <w:next w:val="BodyText"/>
    <w:qFormat/>
    <w:pPr>
      <w:spacing w:before="0" w:after="240"/>
      <w:ind w:hanging="0" w:start="720" w:end="720"/>
    </w:pPr>
    <w:rPr/>
  </w:style>
  <w:style w:type="paragraph" w:styleId="Bold">
    <w:name w:val="Bold"/>
    <w:basedOn w:val="Normal"/>
    <w:next w:val="BodyText"/>
    <w:qFormat/>
    <w:pPr>
      <w:keepNext w:val="true"/>
      <w:spacing w:before="0" w:after="240"/>
    </w:pPr>
    <w:rPr>
      <w:b/>
    </w:rPr>
  </w:style>
  <w:style w:type="paragraph" w:styleId="BoldCapCenter">
    <w:name w:val="BoldCapCenter"/>
    <w:basedOn w:val="Normal"/>
    <w:next w:val="BodyText"/>
    <w:qFormat/>
    <w:pPr>
      <w:keepNext w:val="true"/>
      <w:spacing w:before="0" w:after="240"/>
      <w:jc w:val="center"/>
    </w:pPr>
    <w:rPr>
      <w:b/>
      <w:caps/>
    </w:rPr>
  </w:style>
  <w:style w:type="paragraph" w:styleId="Underline">
    <w:name w:val="Underline"/>
    <w:basedOn w:val="Normal"/>
    <w:next w:val="BodyText"/>
    <w:qFormat/>
    <w:pPr>
      <w:keepNext w:val="true"/>
      <w:spacing w:before="0" w:after="240"/>
    </w:pPr>
    <w:rPr>
      <w:u w:val="single"/>
    </w:rPr>
  </w:style>
  <w:style w:type="paragraph" w:styleId="Italic">
    <w:name w:val="Italic"/>
    <w:basedOn w:val="Normal"/>
    <w:next w:val="BodyText"/>
    <w:qFormat/>
    <w:pPr>
      <w:keepNext w:val="true"/>
      <w:spacing w:before="0" w:after="240"/>
    </w:pPr>
    <w:rPr>
      <w:i/>
    </w:rPr>
  </w:style>
  <w:style w:type="paragraph" w:styleId="ListContinue5">
    <w:name w:val="List Continue 5"/>
    <w:basedOn w:val="Normal"/>
    <w:qFormat/>
    <w:pPr>
      <w:spacing w:before="0" w:after="120"/>
      <w:ind w:hanging="0" w:start="1800" w:end="0"/>
    </w:pPr>
    <w:rPr/>
  </w:style>
  <w:style w:type="paragraph" w:styleId="CommentText">
    <w:name w:val="Comment Text"/>
    <w:basedOn w:val="Normal"/>
    <w:qFormat/>
    <w:pPr/>
    <w:rPr>
      <w:sz w:val="20"/>
    </w:rPr>
  </w:style>
  <w:style w:type="paragraph" w:styleId="Date">
    <w:name w:val="Date"/>
    <w:basedOn w:val="Normal"/>
    <w:next w:val="Normal"/>
    <w:qFormat/>
    <w:pPr>
      <w:spacing w:before="0" w:after="240"/>
    </w:pPr>
    <w:rPr/>
  </w:style>
  <w:style w:type="paragraph" w:styleId="DocumentMap">
    <w:name w:val="Document Map"/>
    <w:basedOn w:val="Normal"/>
    <w:qFormat/>
    <w:pPr>
      <w:shd w:fill="000080" w:val="clear"/>
    </w:pPr>
    <w:rPr>
      <w:sz w:val="20"/>
    </w:rPr>
  </w:style>
  <w:style w:type="paragraph" w:styleId="Index2">
    <w:name w:val="index 2"/>
    <w:basedOn w:val="Normal"/>
    <w:next w:val="BodyText"/>
    <w:pPr>
      <w:ind w:hanging="202" w:start="404" w:end="0"/>
    </w:pPr>
    <w:rPr/>
  </w:style>
  <w:style w:type="paragraph" w:styleId="Index3">
    <w:name w:val="index 3"/>
    <w:basedOn w:val="Normal"/>
    <w:next w:val="BodyText"/>
    <w:pPr>
      <w:ind w:hanging="202" w:start="605" w:end="0"/>
    </w:pPr>
    <w:rPr/>
  </w:style>
  <w:style w:type="paragraph" w:styleId="Index4">
    <w:name w:val="Index 4"/>
    <w:basedOn w:val="Normal"/>
    <w:next w:val="BodyText"/>
    <w:qFormat/>
    <w:pPr>
      <w:ind w:hanging="202" w:start="807" w:end="0"/>
    </w:pPr>
    <w:rPr/>
  </w:style>
  <w:style w:type="paragraph" w:styleId="Index5">
    <w:name w:val="Index 5"/>
    <w:basedOn w:val="Normal"/>
    <w:next w:val="BodyText"/>
    <w:qFormat/>
    <w:pPr>
      <w:ind w:hanging="202" w:start="1008" w:end="0"/>
    </w:pPr>
    <w:rPr/>
  </w:style>
  <w:style w:type="paragraph" w:styleId="Index6">
    <w:name w:val="Index 6"/>
    <w:basedOn w:val="Normal"/>
    <w:next w:val="BodyText"/>
    <w:qFormat/>
    <w:pPr>
      <w:ind w:hanging="202" w:start="1196" w:end="0"/>
    </w:pPr>
    <w:rPr/>
  </w:style>
  <w:style w:type="paragraph" w:styleId="Index7">
    <w:name w:val="Index 7"/>
    <w:basedOn w:val="Normal"/>
    <w:next w:val="BodyText"/>
    <w:qFormat/>
    <w:pPr>
      <w:ind w:hanging="202" w:start="1397" w:end="0"/>
    </w:pPr>
    <w:rPr/>
  </w:style>
  <w:style w:type="paragraph" w:styleId="Index8">
    <w:name w:val="Index 8"/>
    <w:basedOn w:val="Normal"/>
    <w:next w:val="BodyText"/>
    <w:qFormat/>
    <w:pPr>
      <w:ind w:hanging="202" w:start="1599" w:end="0"/>
    </w:pPr>
    <w:rPr/>
  </w:style>
  <w:style w:type="paragraph" w:styleId="Index9">
    <w:name w:val="Index 9"/>
    <w:basedOn w:val="Normal"/>
    <w:next w:val="BodyText"/>
    <w:qFormat/>
    <w:pPr>
      <w:ind w:hanging="202" w:start="180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31">
    <w:name w:val="List Bullet 31"/>
    <w:basedOn w:val="Normal"/>
    <w:qFormat/>
    <w:pPr>
      <w:numPr>
        <w:ilvl w:val="0"/>
        <w:numId w:val="8"/>
      </w:numPr>
      <w:tabs>
        <w:tab w:val="clear" w:pos="720"/>
      </w:tabs>
      <w:ind w:hanging="720" w:start="2160" w:end="0"/>
    </w:pPr>
    <w:rPr/>
  </w:style>
  <w:style w:type="paragraph" w:styleId="ListBullet21">
    <w:name w:val="List Bullet 21"/>
    <w:basedOn w:val="Normal"/>
    <w:qFormat/>
    <w:pPr>
      <w:numPr>
        <w:ilvl w:val="0"/>
        <w:numId w:val="9"/>
      </w:numPr>
      <w:tabs>
        <w:tab w:val="clear" w:pos="720"/>
      </w:tabs>
      <w:ind w:hanging="720" w:start="1440" w:end="0"/>
    </w:pPr>
    <w:rPr/>
  </w:style>
  <w:style w:type="paragraph" w:styleId="ListBullet">
    <w:name w:val="List Bullet"/>
    <w:basedOn w:val="Normal"/>
    <w:qFormat/>
    <w:pPr>
      <w:numPr>
        <w:ilvl w:val="0"/>
        <w:numId w:val="11"/>
      </w:numPr>
      <w:tabs>
        <w:tab w:val="clear" w:pos="720"/>
      </w:tabs>
      <w:ind w:hanging="720" w:start="72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Number4">
    <w:name w:val="List Number 4"/>
    <w:basedOn w:val="Normal"/>
    <w:qFormat/>
    <w:pPr>
      <w:numPr>
        <w:ilvl w:val="0"/>
        <w:numId w:val="3"/>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TableofFigures">
    <w:name w:val="Table of Figures"/>
    <w:basedOn w:val="Normal"/>
    <w:next w:val="Normal"/>
    <w:qFormat/>
    <w:pPr>
      <w:spacing w:before="0" w:after="120"/>
      <w:ind w:hanging="475" w:start="475" w:end="0"/>
    </w:pPr>
    <w:rPr/>
  </w:style>
  <w:style w:type="paragraph" w:styleId="TOAHeading">
    <w:name w:val="TOA Heading"/>
    <w:basedOn w:val="Normal"/>
    <w:next w:val="Normal"/>
    <w:qFormat/>
    <w:pPr>
      <w:spacing w:before="0" w:after="240"/>
      <w:jc w:val="center"/>
      <w:outlineLvl w:val="0"/>
    </w:pPr>
    <w:rPr>
      <w:b/>
    </w:rPr>
  </w:style>
  <w:style w:type="paragraph" w:styleId="TOC2">
    <w:name w:val="toc 2"/>
    <w:basedOn w:val="Normal"/>
    <w:next w:val="Normal"/>
    <w:pPr>
      <w:ind w:hanging="0" w:start="240" w:end="0"/>
    </w:pPr>
    <w:rPr/>
  </w:style>
  <w:style w:type="paragraph" w:styleId="NoteHeading">
    <w:name w:val="Note Heading"/>
    <w:basedOn w:val="Normal"/>
    <w:next w:val="BodyText"/>
    <w:qFormat/>
    <w:pPr/>
    <w:rPr/>
  </w:style>
  <w:style w:type="paragraph" w:styleId="Salutation">
    <w:name w:val="Salutation"/>
    <w:basedOn w:val="Normal"/>
    <w:next w:val="BodyText"/>
    <w:qFormat/>
    <w:pPr>
      <w:spacing w:before="0" w:after="240"/>
    </w:pPr>
    <w:rPr/>
  </w:style>
  <w:style w:type="paragraph" w:styleId="TOC1">
    <w:name w:val="toc 1"/>
    <w:basedOn w:val="Normal"/>
    <w:next w:val="Normal"/>
    <w:pPr/>
    <w:rPr/>
  </w:style>
  <w:style w:type="paragraph" w:styleId="TOC9">
    <w:name w:val="toc 9"/>
    <w:basedOn w:val="Normal"/>
    <w:next w:val="Normal"/>
    <w:pPr>
      <w:ind w:hanging="0" w:start="1920" w:end="0"/>
    </w:pPr>
    <w:rPr/>
  </w:style>
  <w:style w:type="paragraph" w:styleId="TOC8">
    <w:name w:val="toc 8"/>
    <w:basedOn w:val="Normal"/>
    <w:next w:val="Normal"/>
    <w:pPr>
      <w:ind w:hanging="0" w:start="1680" w:end="0"/>
    </w:pPr>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5">
    <w:name w:val="toc 5"/>
    <w:basedOn w:val="Normal"/>
    <w:next w:val="Normal"/>
    <w:pPr>
      <w:ind w:hanging="0" w:start="96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ListNumber">
    <w:name w:val="List Number"/>
    <w:basedOn w:val="Normal"/>
    <w:qFormat/>
    <w:pPr>
      <w:numPr>
        <w:ilvl w:val="0"/>
        <w:numId w:val="10"/>
      </w:numPr>
      <w:tabs>
        <w:tab w:val="clear" w:pos="720"/>
      </w:tabs>
    </w:pPr>
    <w:rPr/>
  </w:style>
  <w:style w:type="paragraph" w:styleId="LHFirmName">
    <w:name w:val="LH Firm Name"/>
    <w:basedOn w:val="Normal"/>
    <w:qFormat/>
    <w:pPr>
      <w:spacing w:before="0" w:after="120"/>
      <w:ind w:hanging="0" w:start="-720" w:end="0"/>
    </w:pPr>
    <w:rPr>
      <w:rFonts w:ascii="EngravrsRoman BT;Book Antiqua" w:hAnsi="EngravrsRoman BT;Book Antiqua" w:cs="EngravrsRoman BT;Book Antiqua"/>
      <w:b/>
      <w:spacing w:val="10"/>
      <w:sz w:val="15"/>
    </w:rPr>
  </w:style>
  <w:style w:type="paragraph" w:styleId="BodyTextContinued">
    <w:name w:val="Body Text Continued"/>
    <w:basedOn w:val="BodyText"/>
    <w:next w:val="BodyText"/>
    <w:qFormat/>
    <w:pPr>
      <w:ind w:hanging="0" w:start="0" w:end="0"/>
    </w:pPr>
    <w:rPr/>
  </w:style>
  <w:style w:type="paragraph" w:styleId="LetterClosing">
    <w:name w:val="LetterClosing"/>
    <w:basedOn w:val="Normal"/>
    <w:next w:val="Normal"/>
    <w:qFormat/>
    <w:pPr/>
    <w:rPr/>
  </w:style>
  <w:style w:type="paragraph" w:styleId="PleadingSignature">
    <w:name w:val="Pleading Signature"/>
    <w:basedOn w:val="Normal"/>
    <w:qFormat/>
    <w:pPr>
      <w:keepNext w:val="true"/>
      <w:keepLines/>
      <w:widowControl w:val="false"/>
    </w:pPr>
    <w:rPr/>
  </w:style>
  <w:style w:type="paragraph" w:styleId="LetterDate">
    <w:name w:val="Letter Date"/>
    <w:basedOn w:val="Normal"/>
    <w:next w:val="BodyText"/>
    <w:qFormat/>
    <w:pPr/>
    <w:rPr/>
  </w:style>
  <w:style w:type="paragraph" w:styleId="DeliveryPhrase">
    <w:name w:val="Delivery Phrase"/>
    <w:basedOn w:val="Normal"/>
    <w:next w:val="Normal"/>
    <w:qFormat/>
    <w:pPr>
      <w:spacing w:before="240" w:after="0"/>
    </w:pPr>
    <w:rPr>
      <w:b/>
      <w:caps/>
    </w:rPr>
  </w:style>
  <w:style w:type="paragraph" w:styleId="SDP">
    <w:name w:val="SDP"/>
    <w:basedOn w:val="Normal"/>
    <w:next w:val="Normal"/>
    <w:qFormat/>
    <w:pPr>
      <w:spacing w:before="240" w:after="0"/>
    </w:pPr>
    <w:rPr>
      <w:b/>
      <w:caps/>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Court">
    <w:name w:val="Court"/>
    <w:basedOn w:val="Normal"/>
    <w:qFormat/>
    <w:pPr>
      <w:spacing w:lineRule="auto" w:line="480" w:before="360" w:after="240"/>
      <w:jc w:val="center"/>
    </w:pPr>
    <w:rPr>
      <w:rFonts w:ascii="Times New Roman Bold" w:hAnsi="Times New Roman Bold" w:cs="Times New Roman Bold"/>
      <w:b/>
    </w:rPr>
  </w:style>
  <w:style w:type="paragraph" w:styleId="CourtLower">
    <w:name w:val="Court Lower"/>
    <w:basedOn w:val="Court"/>
    <w:qFormat/>
    <w:pPr>
      <w:spacing w:lineRule="auto" w:line="240" w:before="0" w:after="0"/>
    </w:pPr>
    <w:rPr>
      <w:b w:val="false"/>
    </w:rPr>
  </w:style>
  <w:style w:type="paragraph" w:styleId="DocumentTitle">
    <w:name w:val="Document Title"/>
    <w:basedOn w:val="CourtLower"/>
    <w:qFormat/>
    <w:pPr>
      <w:spacing w:before="240" w:after="0"/>
    </w:pPr>
    <w:rPr>
      <w:b/>
      <w:caps/>
      <w:sz w:val="30"/>
    </w:rPr>
  </w:style>
  <w:style w:type="paragraph" w:styleId="FirmInformation">
    <w:name w:val="Firm Information"/>
    <w:basedOn w:val="Normal"/>
    <w:qFormat/>
    <w:pPr>
      <w:ind w:hanging="0" w:start="86" w:end="0"/>
    </w:pPr>
    <w:rPr/>
  </w:style>
  <w:style w:type="paragraph" w:styleId="CourtAppealNo">
    <w:name w:val="CourtAppealNo"/>
    <w:basedOn w:val="CourtLower"/>
    <w:qFormat/>
    <w:pPr>
      <w:jc w:val="start"/>
    </w:pPr>
    <w:rPr/>
  </w:style>
  <w:style w:type="paragraph" w:styleId="HeadingL1">
    <w:name w:val="Heading_L1"/>
    <w:basedOn w:val="Normal"/>
    <w:next w:val="BodyText"/>
    <w:qFormat/>
    <w:pPr>
      <w:keepNext w:val="true"/>
      <w:numPr>
        <w:ilvl w:val="0"/>
        <w:numId w:val="12"/>
      </w:numPr>
      <w:spacing w:before="120" w:after="360"/>
      <w:outlineLvl w:val="0"/>
    </w:pPr>
    <w:rPr>
      <w:kern w:val="2"/>
    </w:rPr>
  </w:style>
  <w:style w:type="paragraph" w:styleId="HeadingL2">
    <w:name w:val="Heading_L2"/>
    <w:basedOn w:val="Normal"/>
    <w:next w:val="BodyText"/>
    <w:qFormat/>
    <w:pPr>
      <w:numPr>
        <w:ilvl w:val="0"/>
        <w:numId w:val="12"/>
      </w:numPr>
      <w:spacing w:before="0" w:after="240"/>
      <w:outlineLvl w:val="1"/>
    </w:pPr>
    <w:rPr/>
  </w:style>
  <w:style w:type="paragraph" w:styleId="HeadingL3">
    <w:name w:val="Heading_L3"/>
    <w:basedOn w:val="Normal"/>
    <w:next w:val="BodyText"/>
    <w:qFormat/>
    <w:pPr>
      <w:numPr>
        <w:ilvl w:val="0"/>
        <w:numId w:val="12"/>
      </w:numPr>
      <w:spacing w:before="0" w:after="240"/>
      <w:outlineLvl w:val="2"/>
    </w:pPr>
    <w:rPr/>
  </w:style>
  <w:style w:type="paragraph" w:styleId="HeadingL4">
    <w:name w:val="Heading_L4"/>
    <w:basedOn w:val="Normal"/>
    <w:next w:val="BodyText"/>
    <w:qFormat/>
    <w:pPr>
      <w:numPr>
        <w:ilvl w:val="0"/>
        <w:numId w:val="12"/>
      </w:numPr>
      <w:spacing w:before="0" w:after="240"/>
      <w:outlineLvl w:val="3"/>
    </w:pPr>
    <w:rPr/>
  </w:style>
  <w:style w:type="paragraph" w:styleId="HeadingL5">
    <w:name w:val="Heading_L5"/>
    <w:basedOn w:val="Normal"/>
    <w:next w:val="BodyText"/>
    <w:qFormat/>
    <w:pPr>
      <w:numPr>
        <w:ilvl w:val="0"/>
        <w:numId w:val="12"/>
      </w:numPr>
      <w:spacing w:before="0" w:after="240"/>
      <w:outlineLvl w:val="4"/>
    </w:pPr>
    <w:rPr/>
  </w:style>
  <w:style w:type="paragraph" w:styleId="HeadingL6">
    <w:name w:val="Heading_L6"/>
    <w:basedOn w:val="Normal"/>
    <w:next w:val="BodyText"/>
    <w:qFormat/>
    <w:pPr>
      <w:numPr>
        <w:ilvl w:val="0"/>
        <w:numId w:val="12"/>
      </w:numPr>
      <w:spacing w:before="0" w:after="240"/>
      <w:outlineLvl w:val="5"/>
    </w:pPr>
    <w:rPr/>
  </w:style>
  <w:style w:type="paragraph" w:styleId="HeadingL7">
    <w:name w:val="Heading_L7"/>
    <w:basedOn w:val="Normal"/>
    <w:next w:val="BodyText"/>
    <w:qFormat/>
    <w:pPr>
      <w:numPr>
        <w:ilvl w:val="0"/>
        <w:numId w:val="12"/>
      </w:numPr>
      <w:spacing w:before="0" w:after="240"/>
      <w:outlineLvl w:val="6"/>
    </w:pPr>
    <w:rPr/>
  </w:style>
  <w:style w:type="paragraph" w:styleId="HeadingL8">
    <w:name w:val="Heading_L8"/>
    <w:basedOn w:val="Normal"/>
    <w:next w:val="BodyText"/>
    <w:qFormat/>
    <w:pPr>
      <w:numPr>
        <w:ilvl w:val="0"/>
        <w:numId w:val="12"/>
      </w:numPr>
      <w:spacing w:before="0" w:after="240"/>
      <w:outlineLvl w:val="7"/>
    </w:pPr>
    <w:rPr/>
  </w:style>
  <w:style w:type="paragraph" w:styleId="HeadingL9">
    <w:name w:val="Heading_L9"/>
    <w:basedOn w:val="Normal"/>
    <w:next w:val="BodyText"/>
    <w:qFormat/>
    <w:pPr>
      <w:numPr>
        <w:ilvl w:val="0"/>
        <w:numId w:val="12"/>
      </w:numPr>
      <w:spacing w:before="0" w:after="240"/>
      <w:outlineLvl w:val="8"/>
    </w:pPr>
    <w:rPr/>
  </w:style>
  <w:style w:type="paragraph" w:styleId="footnote1">
    <w:name w:val="footnote1"/>
    <w:basedOn w:val="Quote"/>
    <w:qFormat/>
    <w:pPr>
      <w:spacing w:before="0" w:after="120"/>
      <w:ind w:firstLine="720" w:start="1440" w:end="720"/>
    </w:pPr>
    <w:rPr/>
  </w:style>
  <w:style w:type="paragraph" w:styleId="HeadingCont1">
    <w:name w:val="Heading Cont 1"/>
    <w:basedOn w:val="Heading"/>
    <w:qFormat/>
    <w:pPr/>
    <w:rPr/>
  </w:style>
  <w:style w:type="paragraph" w:styleId="HeadingCont2">
    <w:name w:val="Heading Cont 2"/>
    <w:basedOn w:val="Heading"/>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pedersen@jonesday.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napedersen@jonesday.com" TargetMode="Externa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Pleading.dot</Template>
  <TotalTime>374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2001-06-20T17:13:00Z</dcterms:created>
  <dc:creator>robin beaman</dc:creator>
  <dc:description/>
  <dc:language>en-CA</dc:language>
  <cp:lastModifiedBy>JDRP</cp:lastModifiedBy>
  <cp:lastPrinted>2001-07-10T18:39:00Z</cp:lastPrinted>
  <dcterms:modified xsi:type="dcterms:W3CDTF">2001-07-10T23:10:00Z</dcterms:modified>
  <cp:revision>84</cp:revision>
  <dc:subject/>
  <dc:title>BEFORE THE</dc:title>
</cp:coreProperties>
</file>