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sz w:val="28"/>
        </w:rPr>
      </w:pPr>
      <w:r>
        <w:rPr>
          <w:rFonts w:cs="Times New Roman" w:ascii="Times New Roman" w:hAnsi="Times New Roman"/>
          <w:sz w:val="28"/>
        </w:rPr>
        <w:t>BEFORE THE</w:t>
        <w:br/>
        <w:t>PUBLIC UTILITIES COMMISSION</w:t>
        <w:br/>
        <w:t>of the</w:t>
        <w:br/>
        <w:t>STATE OF CALIFORNIA</w:t>
      </w:r>
    </w:p>
    <w:p>
      <w:pPr>
        <w:pStyle w:val="Normal"/>
        <w:rPr>
          <w:rFonts w:ascii="Times New Roman" w:hAnsi="Times New Roman" w:cs="Times New Roman"/>
          <w:sz w:val="28"/>
        </w:rPr>
      </w:pPr>
      <w:r>
        <w:rPr>
          <w:rFonts w:cs="Times New Roman"/>
          <w:sz w:val="28"/>
        </w:rPr>
      </w:r>
    </w:p>
    <w:p>
      <w:pPr>
        <w:pStyle w:val="Normal"/>
        <w:rPr/>
      </w:pPr>
      <w:r>
        <w:rPr/>
      </w:r>
    </w:p>
    <w:tbl>
      <w:tblPr>
        <w:tblW w:w="9090" w:type="dxa"/>
        <w:jc w:val="start"/>
        <w:tblInd w:w="120" w:type="dxa"/>
        <w:tblLayout w:type="fixed"/>
        <w:tblCellMar>
          <w:top w:w="0" w:type="dxa"/>
          <w:start w:w="120" w:type="dxa"/>
          <w:bottom w:w="0" w:type="dxa"/>
          <w:end w:w="120" w:type="dxa"/>
        </w:tblCellMar>
      </w:tblPr>
      <w:tblGrid>
        <w:gridCol w:w="5400"/>
        <w:gridCol w:w="3690"/>
      </w:tblGrid>
      <w:tr>
        <w:trPr/>
        <w:tc>
          <w:tcPr>
            <w:tcW w:w="5400" w:type="dxa"/>
            <w:tcBorders>
              <w:bottom w:val="single" w:sz="4" w:space="0" w:color="000000"/>
              <w:end w:val="single" w:sz="4" w:space="0" w:color="000000"/>
            </w:tcBorders>
            <w:vAlign w:val="bottom"/>
          </w:tcPr>
          <w:p>
            <w:pPr>
              <w:pStyle w:val="Normal"/>
              <w:rPr/>
            </w:pPr>
            <w:r>
              <w:rPr/>
              <w:t>Application of Pacific Gas and Electric Company for Approval of Open Season Procedures for Awarding Firm Capacity on its Transmission Facilities</w:t>
            </w:r>
          </w:p>
          <w:p>
            <w:pPr>
              <w:pStyle w:val="Normal"/>
              <w:rPr/>
            </w:pPr>
            <w:r>
              <w:rPr/>
            </w:r>
          </w:p>
        </w:tc>
        <w:tc>
          <w:tcPr>
            <w:tcW w:w="3690" w:type="dxa"/>
            <w:tcBorders/>
            <w:vAlign w:val="center"/>
          </w:tcPr>
          <w:p>
            <w:pPr>
              <w:pStyle w:val="Normal"/>
              <w:ind w:start="240" w:end="0"/>
              <w:rPr/>
            </w:pPr>
            <w:r>
              <w:rPr/>
              <w:t>Application 01-06-020</w:t>
            </w:r>
          </w:p>
          <w:p>
            <w:pPr>
              <w:pStyle w:val="Normal"/>
              <w:ind w:start="240" w:end="0"/>
              <w:rPr/>
            </w:pPr>
            <w:r>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
        <w:spacing w:before="0" w:after="1080"/>
        <w:rPr>
          <w:rFonts w:ascii="Times New Roman" w:hAnsi="Times New Roman" w:cs="Times New Roman"/>
          <w:sz w:val="28"/>
        </w:rPr>
      </w:pPr>
      <w:r>
        <w:rPr>
          <w:rFonts w:cs="Times New Roman" w:ascii="Times New Roman" w:hAnsi="Times New Roman"/>
          <w:sz w:val="28"/>
        </w:rPr>
        <w:t>NORTHERN CALIFORNIA GENERATION COALITION</w:t>
        <w:br/>
        <w:t>AND THE UTILITY REFORM NETWORK</w:t>
        <w:br/>
        <w:t xml:space="preserve">PROTEST AND REQUEST TO SUSPEND OPEN SEASON </w:t>
      </w:r>
    </w:p>
    <w:p>
      <w:pPr>
        <w:pStyle w:val="Heading"/>
        <w:rPr>
          <w:rFonts w:ascii="Times New Roman" w:hAnsi="Times New Roman" w:cs="Times New Roman"/>
          <w:sz w:val="28"/>
        </w:rPr>
      </w:pPr>
      <w:r>
        <w:rPr>
          <w:rFonts w:cs="Times New Roman" w:ascii="Times New Roman" w:hAnsi="Times New Roman"/>
          <w:sz w:val="28"/>
        </w:rPr>
      </w:r>
    </w:p>
    <w:p>
      <w:pPr>
        <w:pStyle w:val="Heading"/>
        <w:rPr/>
      </w:pPr>
      <w:r>
        <w:rPr/>
      </w:r>
    </w:p>
    <w:p>
      <w:pPr>
        <w:pStyle w:val="Heading"/>
        <w:rPr/>
      </w:pPr>
      <w:r>
        <w:rPr/>
      </w:r>
    </w:p>
    <w:tbl>
      <w:tblPr>
        <w:tblW w:w="9540" w:type="dxa"/>
        <w:jc w:val="start"/>
        <w:tblInd w:w="120" w:type="dxa"/>
        <w:tblLayout w:type="fixed"/>
        <w:tblCellMar>
          <w:top w:w="0" w:type="dxa"/>
          <w:start w:w="120" w:type="dxa"/>
          <w:bottom w:w="0" w:type="dxa"/>
          <w:end w:w="120" w:type="dxa"/>
        </w:tblCellMar>
      </w:tblPr>
      <w:tblGrid>
        <w:gridCol w:w="4770"/>
        <w:gridCol w:w="4770"/>
      </w:tblGrid>
      <w:tr>
        <w:trPr/>
        <w:tc>
          <w:tcPr>
            <w:tcW w:w="4770" w:type="dxa"/>
            <w:tcBorders/>
          </w:tcPr>
          <w:p>
            <w:pPr>
              <w:pStyle w:val="Normal"/>
              <w:rPr>
                <w:b/>
              </w:rPr>
            </w:pPr>
            <w:r>
              <w:rPr/>
              <w:t>Michel Peter Florio, Esq.</w:t>
              <w:br/>
            </w:r>
            <w:r>
              <w:rPr>
                <w:b/>
              </w:rPr>
              <w:t>THE UTILITY REFORM NETWORK</w:t>
              <w:br/>
            </w:r>
            <w:r>
              <w:rPr/>
              <w:t>711 Van Ness Avenue, Suite 350</w:t>
              <w:br/>
              <w:t>San Francisco, California  94102</w:t>
              <w:br/>
              <w:t>Telephone:  (415) 929-8876</w:t>
            </w:r>
            <w:r>
              <w:rPr>
                <w:b/>
              </w:rPr>
              <w:br/>
            </w:r>
            <w:r>
              <w:rPr/>
              <w:t>Facsimile    (415) 929-1132</w:t>
            </w:r>
            <w:r>
              <w:rPr>
                <w:b/>
              </w:rPr>
              <w:br/>
            </w:r>
            <w:r>
              <w:rPr/>
              <w:t xml:space="preserve">e-mail:  </w:t>
            </w:r>
            <w:hyperlink r:id="rId2">
              <w:r>
                <w:rPr>
                  <w:rStyle w:val="Hyperlink"/>
                </w:rPr>
                <w:t>mflorio@TURN.org</w:t>
              </w:r>
            </w:hyperlink>
            <w:r>
              <w:rPr>
                <w:b/>
              </w:rPr>
              <w:br/>
              <w:br/>
            </w:r>
            <w:r>
              <w:rPr/>
              <w:t>Attorneys for</w:t>
            </w:r>
          </w:p>
          <w:p>
            <w:pPr>
              <w:pStyle w:val="Normal"/>
              <w:rPr>
                <w:b/>
              </w:rPr>
            </w:pPr>
            <w:r>
              <w:rPr>
                <w:b/>
              </w:rPr>
              <w:t>The Utility Reform Network</w:t>
            </w:r>
          </w:p>
          <w:p>
            <w:pPr>
              <w:pStyle w:val="Normal"/>
              <w:rPr>
                <w:b/>
              </w:rPr>
            </w:pPr>
            <w:r>
              <w:rPr>
                <w:b/>
              </w:rPr>
            </w:r>
          </w:p>
          <w:p>
            <w:pPr>
              <w:pStyle w:val="Normal"/>
              <w:rPr/>
            </w:pPr>
            <w:r>
              <w:rPr/>
            </w:r>
          </w:p>
          <w:p>
            <w:pPr>
              <w:pStyle w:val="Normal"/>
              <w:rPr/>
            </w:pPr>
            <w:r>
              <w:rPr/>
            </w:r>
          </w:p>
          <w:p>
            <w:pPr>
              <w:pStyle w:val="Normal"/>
              <w:rPr/>
            </w:pPr>
            <w:r>
              <w:rPr/>
              <w:t>Dated:  June 20, 2001</w:t>
            </w:r>
          </w:p>
        </w:tc>
        <w:tc>
          <w:tcPr>
            <w:tcW w:w="4770" w:type="dxa"/>
            <w:tcBorders/>
          </w:tcPr>
          <w:p>
            <w:pPr>
              <w:pStyle w:val="Normal"/>
              <w:rPr/>
            </w:pPr>
            <w:r>
              <w:rPr/>
              <w:t>Norman A. Pedersen, Esq.</w:t>
            </w:r>
          </w:p>
          <w:p>
            <w:pPr>
              <w:pStyle w:val="Normal"/>
              <w:rPr/>
            </w:pPr>
            <w:r>
              <w:rPr>
                <w:b/>
              </w:rPr>
              <w:t>JONES, DAY, REAVIS &amp; POGUE</w:t>
              <w:br/>
            </w:r>
            <w:r>
              <w:rPr/>
              <w:t>555 West Fifth Street, Suite 4600</w:t>
              <w:br/>
              <w:t>Los Angeles, California 90013-1025</w:t>
              <w:br/>
              <w:t>Telephone: (213) 489-3939</w:t>
              <w:br/>
              <w:t>Facsimile:  (213) 243-2539</w:t>
            </w:r>
          </w:p>
          <w:p>
            <w:pPr>
              <w:pStyle w:val="Normal"/>
              <w:rPr/>
            </w:pPr>
            <w:r>
              <w:rPr/>
              <w:t xml:space="preserve">e-mail:  </w:t>
            </w:r>
            <w:hyperlink r:id="rId3">
              <w:r>
                <w:rPr>
                  <w:rStyle w:val="Hyperlink"/>
                </w:rPr>
                <w:t>napedersen@jonesday.com</w:t>
              </w:r>
            </w:hyperlink>
          </w:p>
          <w:p>
            <w:pPr>
              <w:pStyle w:val="Normal"/>
              <w:rPr/>
            </w:pPr>
            <w:r>
              <w:rPr/>
            </w:r>
          </w:p>
          <w:p>
            <w:pPr>
              <w:pStyle w:val="Normal"/>
              <w:rPr/>
            </w:pPr>
            <w:r>
              <w:rPr/>
              <w:t xml:space="preserve">Attorneys for </w:t>
            </w:r>
          </w:p>
          <w:p>
            <w:pPr>
              <w:pStyle w:val="Normal"/>
              <w:rPr>
                <w:b/>
              </w:rPr>
            </w:pPr>
            <w:r>
              <w:rPr>
                <w:b/>
              </w:rPr>
              <w:t>Northern California Generation Coalition</w:t>
            </w:r>
          </w:p>
        </w:tc>
      </w:tr>
    </w:tbl>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776"/>
          <w:pgNumType w:fmt="decimal"/>
          <w:formProt w:val="false"/>
          <w:titlePg/>
          <w:textDirection w:val="lrTb"/>
          <w:docGrid w:type="default" w:linePitch="360" w:charSpace="0"/>
        </w:sectPr>
        <w:pStyle w:val="Normal"/>
        <w:rPr/>
      </w:pPr>
      <w:r>
        <w:rPr/>
      </w:r>
    </w:p>
    <w:p>
      <w:pPr>
        <w:pStyle w:val="Heading"/>
        <w:ind w:end="72"/>
        <w:rPr>
          <w:rFonts w:ascii="Times New Roman" w:hAnsi="Times New Roman" w:cs="Times New Roman"/>
          <w:sz w:val="28"/>
        </w:rPr>
      </w:pPr>
      <w:r>
        <w:rPr>
          <w:rFonts w:cs="Times New Roman" w:ascii="Times New Roman" w:hAnsi="Times New Roman"/>
          <w:sz w:val="28"/>
        </w:rPr>
        <w:t>BEFORE THE</w:t>
        <w:br/>
        <w:t>PUBLIC UTILITIES COMMISSION</w:t>
        <w:br/>
        <w:t>of the</w:t>
        <w:br/>
        <w:t>STATE OF CALIFORNIA</w:t>
      </w:r>
    </w:p>
    <w:p>
      <w:pPr>
        <w:pStyle w:val="Normal"/>
        <w:rPr>
          <w:rFonts w:ascii="Times New Roman" w:hAnsi="Times New Roman" w:cs="Times New Roman"/>
          <w:sz w:val="28"/>
        </w:rPr>
      </w:pPr>
      <w:r>
        <w:rPr>
          <w:rFonts w:cs="Times New Roman"/>
          <w:sz w:val="28"/>
        </w:rPr>
      </w:r>
    </w:p>
    <w:tbl>
      <w:tblPr>
        <w:tblW w:w="9090" w:type="dxa"/>
        <w:jc w:val="start"/>
        <w:tblInd w:w="120" w:type="dxa"/>
        <w:tblLayout w:type="fixed"/>
        <w:tblCellMar>
          <w:top w:w="0" w:type="dxa"/>
          <w:start w:w="120" w:type="dxa"/>
          <w:bottom w:w="0" w:type="dxa"/>
          <w:end w:w="120" w:type="dxa"/>
        </w:tblCellMar>
      </w:tblPr>
      <w:tblGrid>
        <w:gridCol w:w="5400"/>
        <w:gridCol w:w="3690"/>
      </w:tblGrid>
      <w:tr>
        <w:trPr/>
        <w:tc>
          <w:tcPr>
            <w:tcW w:w="5400" w:type="dxa"/>
            <w:tcBorders>
              <w:bottom w:val="single" w:sz="4" w:space="0" w:color="000000"/>
              <w:end w:val="single" w:sz="4" w:space="0" w:color="000000"/>
            </w:tcBorders>
            <w:vAlign w:val="bottom"/>
          </w:tcPr>
          <w:p>
            <w:pPr>
              <w:pStyle w:val="Normal"/>
              <w:rPr/>
            </w:pPr>
            <w:r>
              <w:rPr/>
              <w:t>Application of Pacific Gas and Electric Company for Approval of Open Season Procedures for Awarding Firm Capacity on its Transmission Facilities</w:t>
            </w:r>
          </w:p>
          <w:p>
            <w:pPr>
              <w:pStyle w:val="Normal"/>
              <w:rPr/>
            </w:pPr>
            <w:r>
              <w:rPr/>
            </w:r>
          </w:p>
        </w:tc>
        <w:tc>
          <w:tcPr>
            <w:tcW w:w="3690" w:type="dxa"/>
            <w:tcBorders/>
            <w:vAlign w:val="center"/>
          </w:tcPr>
          <w:p>
            <w:pPr>
              <w:pStyle w:val="Normal"/>
              <w:ind w:start="240" w:end="0"/>
              <w:rPr/>
            </w:pPr>
            <w:r>
              <w:rPr/>
              <w:t>Application 01-06-020</w:t>
            </w:r>
          </w:p>
          <w:p>
            <w:pPr>
              <w:pStyle w:val="Normal"/>
              <w:ind w:start="240" w:end="0"/>
              <w:rPr/>
            </w:pPr>
            <w:r>
              <w:rPr/>
            </w:r>
          </w:p>
        </w:tc>
      </w:tr>
    </w:tbl>
    <w:p>
      <w:pPr>
        <w:pStyle w:val="Normal"/>
        <w:rPr/>
      </w:pPr>
      <w:r>
        <w:rPr/>
      </w:r>
    </w:p>
    <w:p>
      <w:pPr>
        <w:pStyle w:val="Normal"/>
        <w:rPr/>
      </w:pPr>
      <w:r>
        <w:rPr/>
      </w:r>
    </w:p>
    <w:p>
      <w:pPr>
        <w:pStyle w:val="Normal"/>
        <w:rPr/>
      </w:pPr>
      <w:r>
        <w:rPr/>
      </w:r>
    </w:p>
    <w:p>
      <w:pPr>
        <w:pStyle w:val="Heading"/>
        <w:rPr>
          <w:rFonts w:ascii="Times New Roman" w:hAnsi="Times New Roman" w:cs="Times New Roman"/>
          <w:sz w:val="28"/>
        </w:rPr>
      </w:pPr>
      <w:r>
        <w:rPr>
          <w:rFonts w:cs="Times New Roman" w:ascii="Times New Roman" w:hAnsi="Times New Roman"/>
          <w:sz w:val="28"/>
        </w:rPr>
        <w:t>NORTHERN CALIFORNIA GENERATION COALITION</w:t>
        <w:br/>
        <w:t>AND THE UTILITY REFORM NETWORK</w:t>
        <w:br/>
        <w:t xml:space="preserve">PROTEST AND REQUEST TO SUSPEND OPEN SEASON </w:t>
      </w:r>
    </w:p>
    <w:p>
      <w:pPr>
        <w:pStyle w:val="Normal"/>
        <w:rPr>
          <w:rFonts w:ascii="Times New Roman" w:hAnsi="Times New Roman" w:cs="Times New Roman"/>
          <w:sz w:val="28"/>
          <w:u w:val="single"/>
        </w:rPr>
      </w:pPr>
      <w:r>
        <w:rPr>
          <w:rFonts w:cs="Times New Roman"/>
          <w:sz w:val="28"/>
          <w:u w:val="single"/>
        </w:rPr>
      </w:r>
    </w:p>
    <w:p>
      <w:pPr>
        <w:pStyle w:val="BodyText"/>
        <w:rPr/>
      </w:pPr>
      <w:r>
        <w:rPr/>
        <w:t xml:space="preserve">This Protest and Request to Suspend Open Season is respectfully submitted by the Northern California Generation Coalition ("NCGC") and The Utility Reform Network ("TURN") (jointly, "End-User Parties") in accordance with the Administrative Law Judge's Ruling issued on June 14, 2001 in this proceeding.  The End-User Parties protest PG&amp;E's unauthorized commencement of an open season to award firm capacity on its backbone system, effective as of January 1, 2003, and the End-User Parties protest PG&amp;E's after-the-fact Application 01-06-020 requesting approval of the open season process.  </w:t>
      </w:r>
    </w:p>
    <w:p>
      <w:pPr>
        <w:pStyle w:val="BodyText"/>
        <w:rPr/>
      </w:pPr>
      <w:r>
        <w:rPr/>
        <w:t xml:space="preserve">PG&amp;E's open season is an obvious effort by PG&amp;E to circumvent any meaningful review of the prudence of the unbundled Gas Accord market structure.  The End-User Parties request that the Commission order PG&amp;E to suspend its open season until the Commission has received and reviewed PG&amp;E's Gas Accord II filing and made a decision, based upon a full review of the evidence, about the appropriate model that should be used for the delivery of intrastate gas transmission services in PG&amp;E's service territory as of January 1, 2003.  The End-User Parties further request that the Commission set a date certain by which PG&amp;E will be required to file its delayed Gas Accord II application.  </w:t>
      </w:r>
    </w:p>
    <w:p>
      <w:pPr>
        <w:pStyle w:val="BodyText"/>
        <w:rPr/>
      </w:pPr>
      <w:r>
        <w:rPr/>
        <w:t>PG&amp;E's unilateral commencement of its open season has created an unforeseen emergency situation that requires a decision from the Commission more quickly than would be permitted if advance publication were made on the regular meeting agenda.  Thus, the End-User Parties ask the Commission to take immediate action to suspend PG&amp;E's open season pursuant to Rule 81(f) of the Commission's Rules of Practice and Procedure.</w:t>
      </w:r>
    </w:p>
    <w:p>
      <w:pPr>
        <w:pStyle w:val="HeadingL1"/>
        <w:keepNext w:val="false"/>
        <w:numPr>
          <w:ilvl w:val="0"/>
          <w:numId w:val="12"/>
        </w:numPr>
        <w:spacing w:before="120" w:after="120"/>
        <w:ind w:hanging="0" w:start="0"/>
        <w:rPr>
          <w:b/>
        </w:rPr>
      </w:pPr>
      <w:r>
        <w:rPr>
          <w:b/>
        </w:rPr>
        <w:t>BACKGROUND</w:t>
      </w:r>
    </w:p>
    <w:p>
      <w:pPr>
        <w:pStyle w:val="BodyText"/>
        <w:rPr/>
      </w:pPr>
      <w:r>
        <w:rPr/>
        <w:t>On June 12, 2001, PG&amp;E released a package of bid materials to commence an open season for backbone capacity.  Credit applications are due on June 22, 2001.  Binding bids for service are due by July 31, 2001.  Application, Attachment 1 at 1.  PG&amp;E is offering 905 Mdth/d of annual Redwood Path capacity, 245 Mdth/d of annual Baja Path capacity, and 155 Mdth/d of Silverado Path capacity.  PG&amp;E is also offering 200 Mdth/d of seasonal capacity on the Baja Path.  The capacity is being offered for terms up to fifteen years, commencing January 1, 2003.  PG&amp;E states that the offered capacity is approximately 80 percent of PG&amp;E's available transmission capacity.  The remaining 20 percent of available capacity will be "…reserved for a future open season."  Application at 2.</w:t>
      </w:r>
    </w:p>
    <w:p>
      <w:pPr>
        <w:pStyle w:val="BodyText"/>
        <w:rPr/>
      </w:pPr>
      <w:r>
        <w:rPr/>
        <w:t>PG&amp;E states that rates will be determined as a part of PG&amp;E's Gas Accord II filing, which PG&amp;E says it intends to file with the Commission "…in the near future."  Application  at 2.  PG&amp;E also states that in the Gas Accord II proceeding the Commission will determine the amount of actual capacity assigned to Core Procurement Group and the rules for "the second open season."  Application at 4.</w:t>
      </w:r>
    </w:p>
    <w:p>
      <w:pPr>
        <w:pStyle w:val="BodyText"/>
        <w:rPr/>
      </w:pPr>
      <w:r>
        <w:rPr/>
        <w:t xml:space="preserve">On June 13, 2001, after commencement of the open season, PG&amp;E filed its Application 01-06-020 requesting approval of the open season procedures that PG&amp;E had implemented on the previous day.  On June 14, 2001, Administrative Law Judge ("ALJ") Brown issued a Ruling shortening the time for protests to June 20, 2001 and for replies to June 25, 2001. </w:t>
      </w:r>
    </w:p>
    <w:p>
      <w:pPr>
        <w:pStyle w:val="HeadingL1"/>
        <w:numPr>
          <w:ilvl w:val="0"/>
          <w:numId w:val="12"/>
        </w:numPr>
        <w:spacing w:before="120" w:after="120"/>
        <w:ind w:hanging="0" w:start="0"/>
        <w:rPr>
          <w:b/>
        </w:rPr>
      </w:pPr>
      <w:r>
        <w:rPr>
          <w:b/>
        </w:rPr>
        <w:t>COMMENT</w:t>
      </w:r>
    </w:p>
    <w:p>
      <w:pPr>
        <w:pStyle w:val="BodyText"/>
        <w:rPr/>
      </w:pPr>
      <w:r>
        <w:rPr/>
        <w:t xml:space="preserve">PG&amp;E has the process backwards.  An open season should be conducted at the end of the Commission' s approval process, not the beginning.  The utility should file an application.  Then, parties should be permitted an opportunity to comment.  After proceedings that provide for due process and the development of a record, the Commission should issue a decision.  The utility should then propose tariffs to implement the decision.  After approval of the tariffs, the utility should commence its open season.  That was the procedure that was followed in implementing the original Gas Accord. </w:t>
      </w:r>
    </w:p>
    <w:p>
      <w:pPr>
        <w:pStyle w:val="BodyText"/>
        <w:rPr/>
      </w:pPr>
      <w:r>
        <w:rPr/>
        <w:t>Now, PG&amp;E is endeavoring to circumvent the Commission's processes.  PG&amp;E's "open season" is an obvious effort to prejudge the outcome of the anticipated Gas Accord II proceeding to the benefit of PG&amp;E and gas marketers and, sadly, to the potential detriment of California's end use customers.</w:t>
      </w:r>
    </w:p>
    <w:p>
      <w:pPr>
        <w:pStyle w:val="BodyText"/>
        <w:rPr/>
      </w:pPr>
      <w:r>
        <w:rPr/>
        <w:t>The questions posed by ALJ Brown's June 14, 2001 Ruling are worthy of discussion and evaluation.  However, four working days to consider the issues raised by ALJ Brown is inadequate.  Furthermore, there are numerous, crucial issues beyond these raised in the Ruling.</w:t>
      </w:r>
    </w:p>
    <w:p>
      <w:pPr>
        <w:pStyle w:val="BodyText"/>
        <w:rPr/>
      </w:pPr>
      <w:r>
        <w:rPr/>
        <w:t xml:space="preserve">One large issue which is missing from the Ruling is whether end-users should have priority access to capacity rights.  The PG&amp;E open season presumes that it is reasonable not to allow customers to have priority access to capacity.  The End-User Parties disagree.  Any capacity allocation scheme should give a preference to end-use customers (or their direct agents acting on behalf of specific customers or governmental entities) located in California and in the PG&amp;E service territory.  PG&amp;E's bidding structure does not do that.   This failure is one of the material flaws in both the existing Gas Accord structure and the proposed structure. </w:t>
      </w:r>
    </w:p>
    <w:p>
      <w:pPr>
        <w:pStyle w:val="BodyText"/>
        <w:rPr/>
      </w:pPr>
      <w:r>
        <w:rPr/>
        <w:t xml:space="preserve">Awarding capacity creates classes of "haves" and "have nots."  Based on recent history, those with capacity have enjoyed a substantial benefit over those without.  PG&amp;E Citygate prices have consistently exceeded by significant amounts Malin prices.  That is one of the reasons why the End-User Parties prefer a structure in which customers, not marketers, are provided priority access to capacity.  </w:t>
      </w:r>
    </w:p>
    <w:p>
      <w:pPr>
        <w:pStyle w:val="BodyText"/>
        <w:rPr/>
      </w:pPr>
      <w:r>
        <w:rPr/>
        <w:t>The End-User Parties are also concerned about the proposed 15 year term of the contracts and the amount to be sold.  The determination of the term depends on a variety of factors, such as competitive alternatives and how costs and risks between utility and customer should be shared.  Those issues should be considered in the long delayed Gas Accord II proceeding before PG&amp;E commences an open season.</w:t>
      </w:r>
    </w:p>
    <w:p>
      <w:pPr>
        <w:pStyle w:val="BodyText"/>
        <w:rPr/>
      </w:pPr>
      <w:r>
        <w:rPr/>
        <w:t>This Commission should also consider the impact of the timing of PG&amp;E's proposed open season on the State's electricity procurement program being conducted by the Department of Water Resources ("DWR").  The End-User Parties understand that DWR has entered into long-term contracts that include "tolling agreements" under which the State will provide the gas for fueling electric generation, as well as other contracts that permit the State to substitute its own gas for that offered by the electric supplier.  Implementation of these arrangements will likely require firm instrastate pipeline capacity to be obtained by DWR (or its successor).  However, indications are that DWR is not prepared to participate in the open season on the schedule proposed by PG&amp;E. Thus, proceeding on the utility's current course could seriously disadvantage the State's electric procurement efforts for years to come.  There is simply no reason for such injudicious haste.</w:t>
      </w:r>
    </w:p>
    <w:p>
      <w:pPr>
        <w:pStyle w:val="BodyText"/>
        <w:tabs>
          <w:tab w:val="clear" w:pos="720"/>
          <w:tab w:val="left" w:pos="4050" w:leader="none"/>
        </w:tabs>
        <w:rPr/>
      </w:pPr>
      <w:r>
        <w:rPr/>
        <w:t xml:space="preserve">Lastly, the Commission would contradict its own recent statements to the Federal Energy Regulatory Commission ("FERC") if it were to allow PG&amp;E to proceed with its open season under the terms that have been unilaterally implemented by PG&amp;E.  Just last week, on June 11, 2001, the Commission filed a comment in </w:t>
      </w:r>
      <w:r>
        <w:rPr>
          <w:i/>
        </w:rPr>
        <w:t>San Diego and Electric Company, et al.</w:t>
      </w:r>
      <w:r>
        <w:rPr/>
        <w:t>, FERC Docket Nos. RP01-180-000 and RP01-222-000, that supported the imposition of cost-based rate caps on sales of interstate pipeline capacity in the secondary market.  Here, PG&amp;E is asking for permission to offer capacity on a long-term basis with no caps on secondary sales of the capacity.  In fact, PG&amp;E touts the fact that holders of backbone capacity will be able to charge more than the "as-billed" rate for the capacity in secondary transactions:</w:t>
      </w:r>
    </w:p>
    <w:p>
      <w:pPr>
        <w:pStyle w:val="Quote"/>
        <w:rPr/>
      </w:pPr>
      <w:r>
        <w:rPr/>
        <w:t xml:space="preserve">Holding firm capacity can provide some cost stability and may mitigate certain price spikes.  In times of high pipeline utilization, the value of a particular pipeline path can spike, as has occurred in recent months for the Redwood and Baja paths.…  </w:t>
      </w:r>
      <w:r>
        <w:rPr>
          <w:i/>
        </w:rPr>
        <w:t>Capacity holders may benefit from spikes by brokering capacity in the secondary market.</w:t>
      </w:r>
    </w:p>
    <w:p>
      <w:pPr>
        <w:pStyle w:val="BlockText"/>
        <w:rPr/>
      </w:pPr>
      <w:r>
        <w:rPr/>
        <w:t>Application, Attachment 5 at 1. (emphasis added).  The ability of marketers to charge more than the as-billed rate for capacity in secondary transactions is precisely what the CPUC opposes in its June 11, 2001 Comment submitted to the FERC.</w:t>
      </w:r>
    </w:p>
    <w:p>
      <w:pPr>
        <w:pStyle w:val="BodyText"/>
        <w:rPr/>
      </w:pPr>
      <w:r>
        <w:rPr/>
        <w:t xml:space="preserve">PG&amp;E would also permit bundled sales of backbone capacity and gas commodity at the PG&amp;E Citygate without any price controls.  </w:t>
      </w:r>
      <w:r>
        <w:rPr>
          <w:i/>
        </w:rPr>
        <w:t>Ibid</w:t>
      </w:r>
      <w:r>
        <w:rPr/>
        <w:t>.  This also contradicts the CPUC's June 11, 2001 filing at the FERC.  The CPUC argued strenuously that the FERC should adopt a cap on bundled sales at the California border:</w:t>
      </w:r>
    </w:p>
    <w:p>
      <w:pPr>
        <w:pStyle w:val="Quote"/>
        <w:rPr/>
      </w:pPr>
      <w:r>
        <w:rPr/>
        <w:t xml:space="preserve">The CPUC urges that the FERC adopt a cap of 120 percent of the reported average commodity sales price (based upon trade press reports of indices in appropriate producing basins), plus 100 percent of the as-billed rate for interstate transportation.  This cap is lower than SDG&amp;E's proposed cap of 150% of the sum of the reported average commodity sales price and as-billed transportation rate.  A twenty percent premium over the commodity prices should be more than sufficient to allow for a fair return, while providing overdue relief to California consumers. </w:t>
      </w:r>
    </w:p>
    <w:p>
      <w:pPr>
        <w:pStyle w:val="BlockText"/>
        <w:rPr/>
      </w:pPr>
      <w:r>
        <w:rPr/>
        <w:t>CPUC Comment at 5.  It would be self-defeating for the Commission to get caps on interstate sales but then to permit uncapped Citygate prices.  The marketers would simply move the point at which they collect economic rents downstream from the border to the Citygate.  Clearly, to be consistent with its comments to the FERC, the Commission must halt PG&amp;E's open season.</w:t>
      </w:r>
    </w:p>
    <w:p>
      <w:pPr>
        <w:pStyle w:val="HeadingL1"/>
        <w:keepNext w:val="false"/>
        <w:numPr>
          <w:ilvl w:val="0"/>
          <w:numId w:val="12"/>
        </w:numPr>
        <w:spacing w:before="120" w:after="120"/>
        <w:ind w:hanging="0" w:start="0"/>
        <w:rPr>
          <w:b/>
        </w:rPr>
      </w:pPr>
      <w:r>
        <w:rPr>
          <w:b/>
        </w:rPr>
        <w:t>CONCLUSION</w:t>
      </w:r>
    </w:p>
    <w:p>
      <w:pPr>
        <w:pStyle w:val="BodyText"/>
        <w:rPr/>
      </w:pPr>
      <w:r>
        <w:rPr/>
        <w:t>For of the above-stated reasons, the End-User Parties urge the Commission to suspend PG&amp;E's procedural schedule, require PG&amp;E to file its delayed Gas Accord II application by a date certain, and set a reasonable schedule for the deliberative review and consideration of PG&amp;E's Gas Accord II proposal as well as any alternatives that parties may desire to present.</w:t>
      </w:r>
    </w:p>
    <w:tbl>
      <w:tblPr>
        <w:tblW w:w="9324" w:type="dxa"/>
        <w:jc w:val="center"/>
        <w:tblInd w:w="0" w:type="dxa"/>
        <w:tblLayout w:type="fixed"/>
        <w:tblCellMar>
          <w:top w:w="0" w:type="dxa"/>
          <w:start w:w="108" w:type="dxa"/>
          <w:bottom w:w="0" w:type="dxa"/>
          <w:end w:w="108" w:type="dxa"/>
        </w:tblCellMar>
      </w:tblPr>
      <w:tblGrid>
        <w:gridCol w:w="4752"/>
        <w:gridCol w:w="4572"/>
      </w:tblGrid>
      <w:tr>
        <w:trPr/>
        <w:tc>
          <w:tcPr>
            <w:tcW w:w="4752" w:type="dxa"/>
            <w:tcBorders/>
          </w:tcPr>
          <w:p>
            <w:pPr>
              <w:pStyle w:val="PleadingSignature"/>
              <w:keepNext w:val="false"/>
              <w:rPr/>
            </w:pPr>
            <w:bookmarkStart w:id="0" w:name="_zzmpFIXED_SignatureTable"/>
            <w:bookmarkEnd w:id="0"/>
            <w:r>
              <w:rPr/>
              <w:br/>
              <w:br/>
              <w:br/>
              <w:br/>
            </w:r>
            <w:r>
              <w:rPr>
                <w:u w:val="single"/>
              </w:rPr>
              <w:tab/>
              <w:tab/>
              <w:tab/>
              <w:tab/>
              <w:tab/>
            </w:r>
          </w:p>
          <w:p>
            <w:pPr>
              <w:pStyle w:val="PleadingSignature"/>
              <w:rPr/>
            </w:pPr>
            <w:r>
              <w:rPr/>
              <w:t>Michel Peter Florio, Esq.</w:t>
            </w:r>
          </w:p>
          <w:p>
            <w:pPr>
              <w:pStyle w:val="PleadingSignature"/>
              <w:keepNext w:val="false"/>
              <w:rPr/>
            </w:pPr>
            <w:r>
              <w:rPr>
                <w:b/>
              </w:rPr>
              <w:t>THE UTILITY REFORM NETWORK</w:t>
              <w:br/>
            </w:r>
            <w:r>
              <w:rPr/>
              <w:t>711 Van Ness Avenue, Suite 350</w:t>
              <w:br/>
              <w:t>San Francisco, California  94102</w:t>
              <w:br/>
              <w:t>Telephone:  (415) 929-8876</w:t>
              <w:br/>
              <w:t>Facsimile:   (415) 929-1132</w:t>
              <w:br/>
              <w:t xml:space="preserve">E-mail:  </w:t>
            </w:r>
            <w:hyperlink r:id="rId8">
              <w:r>
                <w:rPr>
                  <w:rStyle w:val="Hyperlink"/>
                </w:rPr>
                <w:t>mflorio@turn.org</w:t>
              </w:r>
            </w:hyperlink>
          </w:p>
          <w:p>
            <w:pPr>
              <w:pStyle w:val="PleadingSignature"/>
              <w:rPr/>
            </w:pPr>
            <w:r>
              <w:rPr/>
            </w:r>
          </w:p>
          <w:p>
            <w:pPr>
              <w:pStyle w:val="PleadingSignature"/>
              <w:rPr/>
            </w:pPr>
            <w:r>
              <w:rPr/>
              <w:t>Attorneys for</w:t>
              <w:br/>
            </w:r>
            <w:r>
              <w:rPr>
                <w:b/>
              </w:rPr>
              <w:t>The Utility Reform Network</w:t>
            </w:r>
          </w:p>
          <w:p>
            <w:pPr>
              <w:pStyle w:val="PleadingSignature"/>
              <w:rPr/>
            </w:pPr>
            <w:r>
              <w:rPr/>
            </w:r>
          </w:p>
          <w:p>
            <w:pPr>
              <w:pStyle w:val="PleadingSignature"/>
              <w:rPr/>
            </w:pPr>
            <w:r>
              <w:rPr/>
            </w:r>
          </w:p>
          <w:p>
            <w:pPr>
              <w:pStyle w:val="PleadingSignature"/>
              <w:rPr/>
            </w:pPr>
            <w:r>
              <w:rPr/>
            </w:r>
          </w:p>
          <w:p>
            <w:pPr>
              <w:pStyle w:val="PleadingSignature"/>
              <w:rPr/>
            </w:pPr>
            <w:r>
              <w:rPr/>
            </w:r>
          </w:p>
          <w:p>
            <w:pPr>
              <w:pStyle w:val="PleadingSignature"/>
              <w:rPr/>
            </w:pPr>
            <w:r>
              <w:rPr/>
            </w:r>
          </w:p>
          <w:p>
            <w:pPr>
              <w:pStyle w:val="PleadingSignature"/>
              <w:rPr/>
            </w:pPr>
            <w:r>
              <w:rPr/>
              <w:t>Dated:</w:t>
              <w:tab/>
              <w:t xml:space="preserve"> June 20, 2001</w:t>
            </w:r>
          </w:p>
          <w:p>
            <w:pPr>
              <w:pStyle w:val="PleadingSignature"/>
              <w:rPr/>
            </w:pPr>
            <w:r>
              <w:rPr/>
            </w:r>
          </w:p>
        </w:tc>
        <w:tc>
          <w:tcPr>
            <w:tcW w:w="4572" w:type="dxa"/>
            <w:tcBorders/>
          </w:tcPr>
          <w:p>
            <w:pPr>
              <w:pStyle w:val="PleadingSignature"/>
              <w:rPr/>
            </w:pPr>
            <w:r>
              <w:rPr/>
              <w:t>Respectfully submitted,</w:t>
            </w:r>
          </w:p>
          <w:p>
            <w:pPr>
              <w:pStyle w:val="PleadingSignature"/>
              <w:spacing w:before="720" w:after="0"/>
              <w:rPr>
                <w:u w:val="single"/>
              </w:rPr>
            </w:pPr>
            <w:r>
              <w:rPr>
                <w:u w:val="single"/>
              </w:rPr>
              <w:tab/>
              <w:tab/>
              <w:tab/>
              <w:tab/>
              <w:tab/>
            </w:r>
          </w:p>
          <w:p>
            <w:pPr>
              <w:pStyle w:val="Normal"/>
              <w:keepNext w:val="true"/>
              <w:keepLines/>
              <w:suppressAutoHyphens w:val="true"/>
              <w:rPr/>
            </w:pPr>
            <w:r>
              <w:rPr/>
              <w:t>Norman A. Pedersen, Esq.</w:t>
              <w:br/>
            </w:r>
            <w:r>
              <w:rPr>
                <w:b/>
              </w:rPr>
              <w:t>JONES, DAY, REAVIS &amp; POGUE</w:t>
            </w:r>
            <w:r>
              <w:rPr/>
              <w:br/>
              <w:t>555 West Fifth Street, Suite 4600</w:t>
              <w:br/>
              <w:t>Los Angeles, California 90013-1025</w:t>
              <w:br/>
              <w:t>Telephone: (213) 489-3939</w:t>
              <w:br/>
              <w:t>Facsimile:  (213) 243-2539</w:t>
            </w:r>
          </w:p>
          <w:p>
            <w:pPr>
              <w:pStyle w:val="Normal"/>
              <w:keepNext w:val="true"/>
              <w:keepLines/>
              <w:suppressAutoHyphens w:val="true"/>
              <w:rPr/>
            </w:pPr>
            <w:r>
              <w:rPr/>
              <w:t xml:space="preserve">e-mail:  </w:t>
            </w:r>
            <w:hyperlink r:id="rId9">
              <w:r>
                <w:rPr>
                  <w:rStyle w:val="Hyperlink"/>
                </w:rPr>
                <w:t>napedersen@jonesday.com</w:t>
              </w:r>
            </w:hyperlink>
          </w:p>
          <w:p>
            <w:pPr>
              <w:pStyle w:val="Normal"/>
              <w:keepNext w:val="true"/>
              <w:keepLines/>
              <w:suppressAutoHyphens w:val="true"/>
              <w:rPr/>
            </w:pPr>
            <w:r>
              <w:rPr/>
            </w:r>
          </w:p>
          <w:p>
            <w:pPr>
              <w:pStyle w:val="Normal"/>
              <w:keepNext w:val="true"/>
              <w:keepLines/>
              <w:suppressAutoHyphens w:val="true"/>
              <w:rPr/>
            </w:pPr>
            <w:r>
              <w:rPr/>
              <w:t xml:space="preserve">Attorneys for </w:t>
            </w:r>
          </w:p>
          <w:p>
            <w:pPr>
              <w:pStyle w:val="PleadingSignature"/>
              <w:rPr>
                <w:b/>
              </w:rPr>
            </w:pPr>
            <w:r>
              <w:rPr>
                <w:b/>
              </w:rPr>
              <w:t>Northern California Generation Coalition</w:t>
              <w:br/>
              <w:br/>
              <w:br/>
              <w:br/>
              <w:br/>
            </w:r>
          </w:p>
        </w:tc>
      </w:tr>
    </w:tbl>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296"/>
          <w:pgNumType w:start="1" w:fmt="decimal"/>
          <w:formProt w:val="false"/>
          <w:titlePg/>
          <w:textDirection w:val="lrTb"/>
          <w:docGrid w:type="default" w:linePitch="360" w:charSpace="0"/>
        </w:sectPr>
      </w:pPr>
    </w:p>
    <w:p>
      <w:pPr>
        <w:pStyle w:val="Normal"/>
        <w:rPr>
          <w:u w:val="single"/>
        </w:rPr>
      </w:pPr>
      <w:r>
        <w:rPr>
          <w:u w:val="single"/>
        </w:rPr>
      </w:r>
    </w:p>
    <w:p>
      <w:pPr>
        <w:pStyle w:val="Heading"/>
        <w:rPr>
          <w:rFonts w:ascii="Times New Roman" w:hAnsi="Times New Roman" w:cs="Times New Roman"/>
          <w:u w:val="single"/>
        </w:rPr>
      </w:pPr>
      <w:r>
        <w:rPr>
          <w:rFonts w:cs="Times New Roman" w:ascii="Times New Roman" w:hAnsi="Times New Roman"/>
          <w:u w:val="single"/>
        </w:rPr>
        <w:t>certificate of service</w:t>
      </w:r>
    </w:p>
    <w:p>
      <w:pPr>
        <w:pStyle w:val="Normal"/>
        <w:rPr>
          <w:rFonts w:ascii="Times New Roman" w:hAnsi="Times New Roman" w:cs="Times New Roman"/>
          <w:u w:val="single"/>
        </w:rPr>
      </w:pPr>
      <w:r>
        <w:rPr>
          <w:rFonts w:cs="Times New Roman"/>
          <w:u w:val="single"/>
        </w:rPr>
      </w:r>
    </w:p>
    <w:p>
      <w:pPr>
        <w:pStyle w:val="BodyTextFirstIndent2"/>
        <w:rPr/>
      </w:pPr>
      <w:r>
        <w:rPr/>
        <w:t xml:space="preserve">I hereby certify that I have this day served a copy of the </w:t>
      </w:r>
      <w:r>
        <w:rPr>
          <w:b/>
        </w:rPr>
        <w:t xml:space="preserve">NORTHERN CALIFORNIA GENERATION COALITION AND THE UTILITY REFORM NETWORK PROTEST AND REQUEST TO SUSPEND OPEN SEASON </w:t>
      </w:r>
      <w:r>
        <w:rPr/>
        <w:t xml:space="preserve">on the service list for </w:t>
      </w:r>
      <w:r>
        <w:rPr>
          <w:b/>
        </w:rPr>
        <w:t>A.01-06-020</w:t>
      </w:r>
      <w:r>
        <w:rPr/>
        <w:t xml:space="preserve"> by mailing a properly addressed copy by first-class mail with postage prepared to each party.</w:t>
      </w:r>
    </w:p>
    <w:p>
      <w:pPr>
        <w:pStyle w:val="BodyTextFirstIndent2"/>
        <w:rPr/>
      </w:pPr>
      <w:r>
        <w:rPr/>
        <w:t>Executed on June 20, 2001 at Los Angeles, California.</w:t>
      </w:r>
    </w:p>
    <w:p>
      <w:pPr>
        <w:pStyle w:val="Signature"/>
        <w:rPr/>
      </w:pPr>
      <w:r>
        <w:rPr/>
        <w:tab/>
      </w:r>
    </w:p>
    <w:p>
      <w:pPr>
        <w:pStyle w:val="Signature"/>
        <w:ind w:hanging="540" w:start="6480" w:end="0"/>
        <w:rPr/>
      </w:pPr>
      <w:r>
        <w:rPr/>
        <w:tab/>
        <w:t>Jaki Hawkins</w:t>
      </w:r>
    </w:p>
    <w:p>
      <w:pPr>
        <w:pStyle w:val="Signature"/>
        <w:ind w:start="0" w:end="0"/>
        <w:rPr/>
      </w:pPr>
      <w:r>
        <w:rPr/>
      </w:r>
    </w:p>
    <w:sectPr>
      <w:headerReference w:type="default" r:id="rId14"/>
      <w:headerReference w:type="first" r:id="rId15"/>
      <w:footerReference w:type="default" r:id="rId16"/>
      <w:footerReference w:type="first" r:id="rId17"/>
      <w:type w:val="nextPage"/>
      <w:pgSz w:w="12240" w:h="15840"/>
      <w:pgMar w:left="1440" w:right="1440" w:gutter="0" w:header="720" w:top="144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EngravrsRoman BT">
    <w:altName w:val="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sz w:val="16"/>
      </w:rPr>
    </w:pPr>
    <w:r>
      <w:rPr>
        <w:sz w:val="16"/>
      </w:rPr>
      <w:t>LA-1093685v1</w:t>
    </w:r>
  </w:p>
  <w:p>
    <w:pPr>
      <w:pStyle w:val="Footer"/>
      <w:spacing w:lineRule="exact" w:line="200"/>
      <w:rPr/>
    </w:pPr>
    <w:r>
      <w:rPr>
        <w:rStyle w:val="zzmpTrailerItem"/>
      </w:rPr>
      <w:t>LA-1109589v1</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LA-1109589v1</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LA-1109589v1</w:t>
    </w: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LA-1109589v1</w:t>
    </w: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LA-1109589v1</w:t>
    </w: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LA-1109589v1</w:t>
    </w:r>
    <w:r>
      <w:rPr>
        <w:sz w:val="16"/>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color w:val="auto"/>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Roman"/>
      <w:lvlText w:val="%1."/>
      <w:lvlJc w:val="start"/>
      <w:pPr>
        <w:tabs>
          <w:tab w:val="num" w:pos="720"/>
        </w:tabs>
        <w:ind w:start="720" w:hanging="720"/>
      </w:pPr>
      <w:rPr>
        <w:i w:val="false"/>
        <w:u w:val="none"/>
        <w:b/>
      </w:rPr>
    </w:lvl>
    <w:lvl w:ilvl="1">
      <w:start w:val="1"/>
      <w:numFmt w:val="upperLetter"/>
      <w:lvlText w:val="%2."/>
      <w:lvlJc w:val="start"/>
      <w:pPr>
        <w:tabs>
          <w:tab w:val="num" w:pos="720"/>
        </w:tabs>
        <w:ind w:start="1440" w:hanging="720"/>
      </w:pPr>
      <w:rPr>
        <w:i w:val="false"/>
        <w:u w:val="none"/>
        <w:b/>
      </w:rPr>
    </w:lvl>
    <w:lvl w:ilvl="2">
      <w:start w:val="1"/>
      <w:numFmt w:val="decimal"/>
      <w:lvlText w:val="%3."/>
      <w:lvlJc w:val="start"/>
      <w:pPr>
        <w:tabs>
          <w:tab w:val="num" w:pos="720"/>
        </w:tabs>
        <w:ind w:start="2160" w:hanging="720"/>
      </w:pPr>
      <w:rPr>
        <w:u w:val="none"/>
        <w:b w:val="false"/>
      </w:rPr>
    </w:lvl>
    <w:lvl w:ilvl="3">
      <w:start w:val="1"/>
      <w:numFmt w:val="lowerLetter"/>
      <w:lvlText w:val="%4."/>
      <w:lvlJc w:val="start"/>
      <w:pPr>
        <w:tabs>
          <w:tab w:val="num" w:pos="720"/>
        </w:tabs>
        <w:ind w:start="2880" w:hanging="720"/>
      </w:pPr>
      <w:rPr>
        <w:u w:val="none"/>
        <w:b w:val="false"/>
      </w:rPr>
    </w:lvl>
    <w:lvl w:ilvl="4">
      <w:start w:val="1"/>
      <w:numFmt w:val="decimal"/>
      <w:lvlText w:val="(%5)"/>
      <w:lvlJc w:val="start"/>
      <w:pPr>
        <w:tabs>
          <w:tab w:val="num" w:pos="720"/>
        </w:tabs>
        <w:ind w:start="3600" w:hanging="720"/>
      </w:pPr>
      <w:rPr>
        <w:u w:val="none"/>
        <w:b w:val="false"/>
      </w:rPr>
    </w:lvl>
    <w:lvl w:ilvl="5">
      <w:start w:val="1"/>
      <w:numFmt w:val="lowerLetter"/>
      <w:lvlText w:val="(%6)"/>
      <w:lvlJc w:val="start"/>
      <w:pPr>
        <w:tabs>
          <w:tab w:val="num" w:pos="720"/>
        </w:tabs>
        <w:ind w:start="4320" w:hanging="720"/>
      </w:pPr>
      <w:rPr>
        <w:u w:val="none"/>
        <w:b w:val="false"/>
      </w:rPr>
    </w:lvl>
    <w:lvl w:ilvl="6">
      <w:start w:val="1"/>
      <w:numFmt w:val="lowerRoman"/>
      <w:lvlText w:val="(%7)"/>
      <w:lvlJc w:val="start"/>
      <w:pPr>
        <w:tabs>
          <w:tab w:val="num" w:pos="720"/>
        </w:tabs>
        <w:ind w:start="5040" w:hanging="720"/>
      </w:pPr>
      <w:rPr>
        <w:u w:val="none"/>
        <w:b w:val="false"/>
      </w:rPr>
    </w:lvl>
    <w:lvl w:ilvl="7">
      <w:start w:val="1"/>
      <w:numFmt w:val="lowerLetter"/>
      <w:lvlText w:val="%8)"/>
      <w:lvlJc w:val="start"/>
      <w:pPr>
        <w:tabs>
          <w:tab w:val="num" w:pos="720"/>
        </w:tabs>
        <w:ind w:start="5760" w:hanging="720"/>
      </w:pPr>
      <w:rPr>
        <w:u w:val="none"/>
        <w:b w:val="false"/>
      </w:rPr>
    </w:lvl>
    <w:lvl w:ilvl="8">
      <w:start w:val="1"/>
      <w:numFmt w:val="lowerRoman"/>
      <w:lvlText w:val="%9)"/>
      <w:lvlJc w:val="start"/>
      <w:pPr>
        <w:tabs>
          <w:tab w:val="num" w:pos="720"/>
        </w:tabs>
        <w:ind w:start="6480" w:hanging="720"/>
      </w:pPr>
      <w:rPr>
        <w:u w:val="none"/>
        <w:b w:val="fals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85TrailerDate" w:val="0"/>
    <w:docVar w:name="85TrailerDateField" w:val="0"/>
    <w:docVar w:name="85TrailerDraft" w:val="0"/>
    <w:docVar w:name="85TrailerTime" w:val="0"/>
    <w:docVar w:name="85TrailerType" w:val="100"/>
    <w:docVar w:name="bpfile" w:val="PleadingCAApp.mbp"/>
    <w:docVar w:name="HeadingStyles" w:val="||Heading|3|3|0|1|0|41||1|0|33||1|0|32||1|0|32||1|0|32||1|0|32||1|0|32||1|0|32||1|0|32||"/>
    <w:docVar w:name="MPDocID" w:val="::ODMA\PCDOCS\LA\1109589\1"/>
    <w:docVar w:name="NewDocStampType" w:val="1"/>
    <w:docVar w:name="Pleading_1_Author" w:val="1200424"/>
    <w:docVar w:name="Pleading_1_CourtTitle" w:val="IN THE&#10;COURT OF APPEAL OF THE STATE OF CALIFORNIA&#10;IN AND FOR THE&#10;_____________ APPELLATE DISTRICT, _____________"/>
    <w:docVar w:name="Pleading_1_Level0" w:val="5"/>
    <w:docVar w:name="Pleading_1_Level0String" w:val="California"/>
    <w:docVar w:name="Pleading_1_Level1" w:val="19"/>
    <w:docVar w:name="Pleading_1_Level1String" w:val="Court of Appeal"/>
    <w:docVar w:name="PleadingCaption_1_AppealFromCourtTitle" w:val="On Appeal From the Superior Court&#10;of California"/>
    <w:docVar w:name="PleadingCaption_1_DisplayName" w:val="California Court of Appeals - Petitioner - "/>
    <w:docVar w:name="PleadingCaption_1_ID" w:val="1"/>
    <w:docVar w:name="PleadingCaption_1_Party1Title" w:val="Petitioner"/>
    <w:docVar w:name="PleadingCaption_1_Party2Title" w:val="Respondent"/>
    <w:docVar w:name="PleadingCaption_1_Position" w:val="1"/>
    <w:docVar w:name="PleadingCaption_1_TypeID" w:val="28"/>
    <w:docVar w:name="PleadingCounsel_1_AttorneyNames" w:val="Norman A. Pedersen"/>
    <w:docVar w:name="PleadingCounsel_1_ClientPartyTitle" w:val="Respondent"/>
    <w:docVar w:name="PleadingCounsel_1_DisplayName" w:val="Norman A. Pedersen"/>
    <w:docVar w:name="PleadingCounsel_1_FirmAddress" w:val="North Point&#10;901 Lakeside Avenue&#10;Cleveland, OH  44114-1190"/>
    <w:docVar w:name="PleadingCounsel_1_FirmFax" w:val="(216) 579-0212"/>
    <w:docVar w:name="PleadingCounsel_1_FirmName" w:val="Jones, Day, Reavis &amp; Pogue"/>
    <w:docVar w:name="PleadingCounsel_1_FirmPhone" w:val="(216) 586-3939"/>
    <w:docVar w:name="PleadingCounsel_1_ID" w:val="1"/>
    <w:docVar w:name="PleadingCounsel_1_Position" w:val="1"/>
    <w:docVar w:name="PleadingCounsel_1_Signers" w:val="0|-1|Norman A. Pedersen|1200424|"/>
    <w:docVar w:name="PleadingCounsel_1_TypeID" w:val="3"/>
    <w:docVar w:name="PleadingSig_1_DateType" w:val="MMMM __, yyyy"/>
    <w:docVar w:name="PleadingSig_1_FirmAddress" w:val="North Point&#10;901 Lakeside Avenue&#10;Cleveland, OH  44114-1190"/>
    <w:docVar w:name="PleadingSig_1_FirmCity" w:val="Cleveland"/>
    <w:docVar w:name="PleadingSig_1_FirmFax" w:val="(216) 579-0212"/>
    <w:docVar w:name="PleadingSig_1_FirmName" w:val="JONES, DAY, REAVIS &amp; POGUE"/>
    <w:docVar w:name="PleadingSig_1_FirmPhone" w:val="(216) 586-3939"/>
    <w:docVar w:name="PleadingSig_1_FirmState" w:val="Ohio"/>
    <w:docVar w:name="PleadingSig_1_ID" w:val="1"/>
    <w:docVar w:name="PleadingSig_1_PartyTitle" w:val="Respondent"/>
    <w:docVar w:name="PleadingSig_1_Position" w:val="2"/>
    <w:docVar w:name="PleadingSig_1_Signer" w:val="Norman A. Pedersen"/>
    <w:docVar w:name="PleadingSig_1_Signer2" w:val="Norman A. Pedersen"/>
    <w:docVar w:name="PleadingSig_1_SignerEMail" w:val="napedersen@jonesday.com"/>
    <w:docVar w:name="PleadingSig_1_Signers" w:val="0|-1|Norman A. Pedersen|1200424|"/>
    <w:docVar w:name="PleadingSig_1_TypeID" w:val="31"/>
    <w:docVar w:name="zzmpFixedCurScheme" w:val="ingStyles"/>
    <w:docVar w:name="zzmpFixedCurScheme_9.0" w:val="1HeadingStyles"/>
    <w:docVar w:name="zzmpLTFontsClean" w:val="True"/>
    <w:docVar w:name="zzmpnSession" w:val="0.8258173"/>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outlineLvl w:val="0"/>
    </w:pPr>
    <w:rPr>
      <w:rFonts w:ascii="Times New Roman Bold" w:hAnsi="Times New Roman Bold" w:cs="Times New Roman Bold"/>
      <w:b/>
      <w:caps/>
      <w:kern w:val="2"/>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numPr>
        <w:ilvl w:val="3"/>
        <w:numId w:val="1"/>
      </w:numPr>
      <w:spacing w:before="0" w:after="240"/>
      <w:outlineLvl w:val="3"/>
    </w:pPr>
    <w:rPr/>
  </w:style>
  <w:style w:type="paragraph" w:styleId="Heading5">
    <w:name w:val="heading 5"/>
    <w:basedOn w:val="Normal"/>
    <w:next w:val="BodyText"/>
    <w:qFormat/>
    <w:pPr>
      <w:numPr>
        <w:ilvl w:val="4"/>
        <w:numId w:val="1"/>
      </w:numPr>
      <w:spacing w:before="0" w:after="240"/>
      <w:outlineLvl w:val="4"/>
    </w:pPr>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
    <w:qFormat/>
    <w:pPr>
      <w:numPr>
        <w:ilvl w:val="6"/>
        <w:numId w:val="1"/>
      </w:numPr>
      <w:spacing w:before="0" w:after="240"/>
      <w:outlineLvl w:val="6"/>
    </w:pPr>
    <w:rPr/>
  </w:style>
  <w:style w:type="paragraph" w:styleId="Heading8">
    <w:name w:val="heading 8"/>
    <w:basedOn w:val="Normal"/>
    <w:next w:val="BodyText"/>
    <w:qFormat/>
    <w:pPr>
      <w:numPr>
        <w:ilvl w:val="7"/>
        <w:numId w:val="1"/>
      </w:numPr>
      <w:spacing w:before="0" w:after="240"/>
      <w:outlineLvl w:val="7"/>
    </w:pPr>
    <w:rPr/>
  </w:style>
  <w:style w:type="paragraph" w:styleId="Heading9">
    <w:name w:val="heading 9"/>
    <w:basedOn w:val="Normal"/>
    <w:next w:val="BodyText"/>
    <w:qFormat/>
    <w:pPr>
      <w:numPr>
        <w:ilvl w:val="8"/>
        <w:numId w:val="1"/>
      </w:numPr>
      <w:spacing w:before="0" w:after="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color w:val="auto"/>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rFonts w:ascii="Times New Roman Bold" w:hAnsi="Times New Roman Bold" w:cs="Times New Roman Bold"/>
      <w:b/>
      <w:i w:val="false"/>
      <w:caps w:val="false"/>
      <w:smallCaps w:val="false"/>
      <w:color w:val="auto"/>
      <w:sz w:val="24"/>
      <w:u w:val="none"/>
    </w:rPr>
  </w:style>
  <w:style w:type="character" w:styleId="WW8Num12z1">
    <w:name w:val="WW8Num12z1"/>
    <w:qFormat/>
    <w:rPr>
      <w:rFonts w:ascii="Times New Roman" w:hAnsi="Times New Roman" w:cs="Times New Roman"/>
      <w:b w:val="false"/>
      <w:caps w:val="false"/>
      <w:smallCaps w:val="false"/>
      <w:color w:val="auto"/>
      <w:sz w:val="24"/>
      <w:u w:val="none"/>
    </w:rPr>
  </w:style>
  <w:style w:type="character" w:styleId="WW8Num12z2">
    <w:name w:val="WW8Num12z2"/>
    <w:qFormat/>
    <w:rPr>
      <w:rFonts w:ascii="Times New Roman" w:hAnsi="Times New Roman" w:cs="Times New Roman"/>
      <w:b w:val="false"/>
      <w:i w:val="false"/>
      <w:caps w:val="false"/>
      <w:smallCaps w:val="false"/>
      <w:color w:val="auto"/>
      <w:sz w:val="24"/>
      <w:u w:val="none"/>
    </w:rPr>
  </w:style>
  <w:style w:type="character" w:styleId="WW8Num13z0">
    <w:name w:val="WW8Num13z0"/>
    <w:qFormat/>
    <w:rPr>
      <w:rFonts w:ascii="Times New Roman Bold" w:hAnsi="Times New Roman Bold" w:cs="Times New Roman Bold"/>
      <w:b w:val="false"/>
      <w:color w:val="auto"/>
      <w:sz w:val="28"/>
      <w:u w:val="none"/>
    </w:rPr>
  </w:style>
  <w:style w:type="character" w:styleId="WW8Num13z1">
    <w:name w:val="WW8Num13z1"/>
    <w:qFormat/>
    <w:rPr>
      <w:rFonts w:ascii="Times New Roman" w:hAnsi="Times New Roman" w:cs="Times New Roman"/>
      <w:b w:val="false"/>
      <w:color w:val="auto"/>
      <w:sz w:val="28"/>
      <w:u w:val="none"/>
    </w:rPr>
  </w:style>
  <w:style w:type="character" w:styleId="WW8Num13z2">
    <w:name w:val="WW8Num13z2"/>
    <w:qFormat/>
    <w:rPr>
      <w:rFonts w:ascii="Times New Roman" w:hAnsi="Times New Roman" w:cs="Times New Roman"/>
      <w:b w:val="false"/>
      <w:caps w:val="false"/>
      <w:smallCaps w:val="false"/>
      <w:color w:val="auto"/>
      <w:sz w:val="28"/>
      <w:u w:val="none"/>
    </w:rPr>
  </w:style>
  <w:style w:type="character" w:styleId="WW8Num13z5">
    <w:name w:val="WW8Num13z5"/>
    <w:qFormat/>
    <w:rPr>
      <w:rFonts w:ascii="Times New Roman" w:hAnsi="Times New Roman" w:cs="Times New Roman"/>
      <w:b w:val="false"/>
      <w:i w:val="false"/>
      <w:caps w:val="false"/>
      <w:smallCaps w:val="false"/>
      <w:color w:val="auto"/>
      <w:sz w:val="28"/>
      <w:u w:val="none"/>
    </w:rPr>
  </w:style>
  <w:style w:type="character" w:styleId="WW8Num14z0">
    <w:name w:val="WW8Num14z0"/>
    <w:qFormat/>
    <w:rPr>
      <w:rFonts w:ascii="Times New Roman" w:hAnsi="Times New Roman" w:cs="Times New Roman"/>
      <w:b/>
      <w:i w:val="false"/>
      <w:caps w:val="false"/>
      <w:smallCaps w:val="false"/>
      <w:color w:val="auto"/>
      <w:sz w:val="24"/>
      <w:u w:val="none"/>
    </w:rPr>
  </w:style>
  <w:style w:type="character" w:styleId="WW8Num14z8">
    <w:name w:val="WW8Num14z8"/>
    <w:qFormat/>
    <w:rPr>
      <w:rFonts w:ascii="Times New Roman" w:hAnsi="Times New Roman" w:cs="Times New Roman"/>
      <w:b w:val="false"/>
      <w:i w:val="false"/>
      <w:caps w:val="false"/>
      <w:smallCaps w:val="false"/>
      <w:color w:val="auto"/>
      <w:sz w:val="24"/>
      <w:u w:val="none"/>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rPr>
  </w:style>
  <w:style w:type="character" w:styleId="Emphasis">
    <w:name w:val="Emphasis"/>
    <w:basedOn w:val="DefaultParagraphFont"/>
    <w:qFormat/>
    <w:rPr>
      <w:rFonts w:ascii="Times New Roman" w:hAnsi="Times New Roman" w:cs="Times New Roman"/>
      <w:b/>
      <w:i/>
      <w:sz w:val="24"/>
    </w:rPr>
  </w:style>
  <w:style w:type="character" w:styleId="EndnoteCharacters">
    <w:name w:val="Endnote Characters"/>
    <w:basedOn w:val="DefaultParagraphFont"/>
    <w:qFormat/>
    <w:rPr>
      <w:rFonts w:ascii="Times New Roman" w:hAnsi="Times New Roman" w:cs="Times New Roman"/>
      <w:sz w:val="24"/>
      <w:vertAlign w:val="superscript"/>
    </w:rPr>
  </w:style>
  <w:style w:type="character" w:styleId="FollowedHyperlink">
    <w:name w:val="FollowedHyperlink"/>
    <w:basedOn w:val="DefaultParagraphFont"/>
    <w:rPr>
      <w:rFonts w:ascii="Times New Roman" w:hAnsi="Times New Roman" w:cs="Times New Roman"/>
      <w:color w:val="800080"/>
      <w:sz w:val="24"/>
      <w:u w:val="single"/>
    </w:rPr>
  </w:style>
  <w:style w:type="character" w:styleId="FootnoteCharacters">
    <w:name w:val="Footnote Characters"/>
    <w:basedOn w:val="DefaultParagraphFont"/>
    <w:qFormat/>
    <w:rPr>
      <w:rFonts w:ascii="Times New Roman" w:hAnsi="Times New Roman" w:cs="Times New Roman"/>
      <w:sz w:val="24"/>
      <w:vertAlign w:val="superscript"/>
    </w:rPr>
  </w:style>
  <w:style w:type="character" w:styleId="Hyperlink">
    <w:name w:val="Hyperlink"/>
    <w:basedOn w:val="DefaultParagraphFont"/>
    <w:rPr>
      <w:rFonts w:ascii="Times New Roman" w:hAnsi="Times New Roman" w:cs="Times New Roman"/>
      <w:color w:val="0000FF"/>
      <w:sz w:val="24"/>
      <w:u w:val="single"/>
    </w:rPr>
  </w:style>
  <w:style w:type="character" w:styleId="LineNumber">
    <w:name w:val="line number"/>
    <w:basedOn w:val="DefaultParagraphFont"/>
    <w:rPr>
      <w:rFonts w:ascii="Times New Roman" w:hAnsi="Times New Roman" w:cs="Times New Roman"/>
      <w:sz w:val="24"/>
    </w:rPr>
  </w:style>
  <w:style w:type="character" w:styleId="PageNumber">
    <w:name w:val="page number"/>
    <w:basedOn w:val="DefaultParagraphFont"/>
    <w:rPr>
      <w:sz w:val="24"/>
    </w:rPr>
  </w:style>
  <w:style w:type="character" w:styleId="Strong">
    <w:name w:val="Strong"/>
    <w:basedOn w:val="DefaultParagraphFont"/>
    <w:qFormat/>
    <w:rPr>
      <w:rFonts w:ascii="Times New Roman" w:hAnsi="Times New Roman" w:cs="Times New Roman"/>
      <w:b/>
      <w:sz w:val="24"/>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0" w:after="240"/>
      <w:jc w:val="center"/>
    </w:pPr>
    <w:rPr>
      <w:rFonts w:ascii="Times New Roman Bold" w:hAnsi="Times New Roman Bold" w:cs="Times New Roman Bold"/>
      <w:b/>
      <w:caps/>
      <w:sz w:val="24"/>
    </w:rPr>
  </w:style>
  <w:style w:type="paragraph" w:styleId="BodyText">
    <w:name w:val="Body Text"/>
    <w:basedOn w:val="Normal"/>
    <w:pPr>
      <w:spacing w:lineRule="auto" w:line="480" w:before="0" w:after="120"/>
      <w:ind w:firstLine="720" w:start="0" w:end="0"/>
    </w:pPr>
    <w:rPr/>
  </w:style>
  <w:style w:type="paragraph" w:styleId="List">
    <w:name w:val="List"/>
    <w:basedOn w:val="Normal"/>
    <w:pPr>
      <w:ind w:hanging="360" w:start="360" w:end="0"/>
    </w:pPr>
    <w:rPr/>
  </w:style>
  <w:style w:type="paragraph" w:styleId="Caption">
    <w:name w:val="caption"/>
    <w:basedOn w:val="Normal"/>
    <w:next w:val="BodyText"/>
    <w:qFormat/>
    <w:pPr>
      <w:spacing w:before="0" w:after="240"/>
      <w:jc w:val="center"/>
    </w:pPr>
    <w:rPr>
      <w:rFonts w:ascii="Times New Roman Bold" w:hAnsi="Times New Roman Bold" w:cs="Times New Roman Bold"/>
      <w:b/>
    </w:rPr>
  </w:style>
  <w:style w:type="paragraph" w:styleId="Index">
    <w:name w:val="Index"/>
    <w:basedOn w:val="Normal"/>
    <w:qFormat/>
    <w:pPr>
      <w:suppressLineNumbers/>
    </w:pPr>
    <w:rPr>
      <w:rFonts w:cs="NotoSans NF"/>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24"/>
      <w:szCs w:val="20"/>
      <w:lang w:val="en-US" w:eastAsia="zh-CN" w:bidi="hi-IN"/>
    </w:rPr>
  </w:style>
  <w:style w:type="paragraph" w:styleId="BlockText">
    <w:name w:val="Block Text"/>
    <w:basedOn w:val="Normal"/>
    <w:qFormat/>
    <w:pPr>
      <w:spacing w:lineRule="auto" w:line="480" w:before="0" w:after="120"/>
    </w:pPr>
    <w:rPr/>
  </w:style>
  <w:style w:type="paragraph" w:styleId="BodyText2">
    <w:name w:val="Body Text 2"/>
    <w:basedOn w:val="Normal"/>
    <w:qFormat/>
    <w:pPr>
      <w:spacing w:before="0" w:after="240"/>
      <w:ind w:hanging="0" w:start="720" w:end="0"/>
    </w:pPr>
    <w:rPr/>
  </w:style>
  <w:style w:type="paragraph" w:styleId="BodyText3">
    <w:name w:val="Body Text 3"/>
    <w:basedOn w:val="Normal"/>
    <w:qFormat/>
    <w:pPr>
      <w:spacing w:before="0" w:after="240"/>
      <w:ind w:hanging="720" w:start="1440" w:end="0"/>
    </w:pPr>
    <w:rPr/>
  </w:style>
  <w:style w:type="paragraph" w:styleId="BodyTextFirstIndent">
    <w:name w:val="Body Text First Indent"/>
    <w:basedOn w:val="Normal"/>
    <w:qFormat/>
    <w:pPr>
      <w:spacing w:before="0" w:after="240"/>
      <w:ind w:firstLine="1440" w:start="0" w:end="0"/>
    </w:pPr>
    <w:rPr/>
  </w:style>
  <w:style w:type="paragraph" w:styleId="BodyTextIndent">
    <w:name w:val="Body Text Indent"/>
    <w:basedOn w:val="Normal"/>
    <w:pPr>
      <w:spacing w:before="0" w:after="240"/>
      <w:ind w:hanging="0" w:start="720" w:end="0"/>
    </w:pPr>
    <w:rPr/>
  </w:style>
  <w:style w:type="paragraph" w:styleId="BodyTextFirstIndent2">
    <w:name w:val="Body Text First Indent 2"/>
    <w:basedOn w:val="Normal"/>
    <w:qFormat/>
    <w:pPr>
      <w:spacing w:lineRule="auto" w:line="480" w:before="0" w:after="240"/>
      <w:ind w:firstLine="720" w:start="0" w:end="0"/>
    </w:pPr>
    <w:rPr/>
  </w:style>
  <w:style w:type="paragraph" w:styleId="BodyTextIndent2">
    <w:name w:val="Body Text Indent 2"/>
    <w:basedOn w:val="Normal"/>
    <w:qFormat/>
    <w:pPr>
      <w:spacing w:lineRule="auto" w:line="480"/>
      <w:ind w:hanging="0" w:start="720" w:end="0"/>
    </w:pPr>
    <w:rPr/>
  </w:style>
  <w:style w:type="paragraph" w:styleId="BodyTextIndent3">
    <w:name w:val="Body Text Indent 3"/>
    <w:basedOn w:val="Normal"/>
    <w:qFormat/>
    <w:pPr>
      <w:spacing w:lineRule="auto" w:line="360"/>
      <w:ind w:hanging="0" w:start="720" w:end="0"/>
    </w:pPr>
    <w:rPr/>
  </w:style>
  <w:style w:type="paragraph" w:styleId="Closing">
    <w:name w:val="Closing"/>
    <w:basedOn w:val="Normal"/>
    <w:next w:val="Signature"/>
    <w:qFormat/>
    <w:pPr>
      <w:keepNext w:val="true"/>
      <w:spacing w:before="0" w:after="960"/>
      <w:ind w:hanging="0" w:start="4680" w:end="0"/>
    </w:pPr>
    <w:rPr/>
  </w:style>
  <w:style w:type="paragraph" w:styleId="Signature">
    <w:name w:val="Signature"/>
    <w:basedOn w:val="Normal"/>
    <w:pPr>
      <w:tabs>
        <w:tab w:val="clear" w:pos="720"/>
        <w:tab w:val="right" w:pos="9360" w:leader="underscore"/>
      </w:tabs>
      <w:ind w:hanging="0" w:start="4680" w:end="0"/>
    </w:pPr>
    <w:rPr/>
  </w:style>
  <w:style w:type="paragraph" w:styleId="EndnoteText">
    <w:name w:val="endnote text"/>
    <w:basedOn w:val="Normal"/>
    <w:pPr>
      <w:spacing w:before="0" w:after="120"/>
      <w:ind w:firstLine="720" w:start="0" w:end="0"/>
    </w:pPr>
    <w:rPr>
      <w:sz w:val="20"/>
    </w:rPr>
  </w:style>
  <w:style w:type="paragraph" w:styleId="EnvelopeAddress">
    <w:name w:val="envelope address"/>
    <w:basedOn w:val="Normal"/>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spacing w:before="0" w:after="120"/>
      <w:ind w:firstLine="720" w:start="0" w:end="0"/>
    </w:pPr>
    <w:rPr>
      <w:sz w:val="20"/>
    </w:rPr>
  </w:style>
  <w:style w:type="paragraph" w:styleId="Header">
    <w:name w:val="header"/>
    <w:basedOn w:val="Normal"/>
    <w:pPr>
      <w:tabs>
        <w:tab w:val="clear" w:pos="720"/>
        <w:tab w:val="center" w:pos="4680" w:leader="none"/>
        <w:tab w:val="right" w:pos="9360" w:leader="none"/>
      </w:tabs>
    </w:pPr>
    <w:rPr/>
  </w:style>
  <w:style w:type="paragraph" w:styleId="Index1">
    <w:name w:val="index 1"/>
    <w:basedOn w:val="Normal"/>
    <w:next w:val="BodyText"/>
    <w:pPr>
      <w:ind w:hanging="245" w:start="245" w:end="0"/>
    </w:pPr>
    <w:rPr/>
  </w:style>
  <w:style w:type="paragraph" w:styleId="IndexHeading">
    <w:name w:val="index heading"/>
    <w:basedOn w:val="Normal"/>
    <w:next w:val="Index1"/>
    <w:pPr>
      <w:spacing w:before="0" w:after="240"/>
      <w:jc w:val="center"/>
      <w:outlineLvl w:val="0"/>
    </w:pPr>
    <w:rPr>
      <w:b/>
    </w:rPr>
  </w:style>
  <w:style w:type="paragraph" w:styleId="ListBullet51">
    <w:name w:val="List Bullet 51"/>
    <w:basedOn w:val="Normal"/>
    <w:qFormat/>
    <w:pPr>
      <w:numPr>
        <w:ilvl w:val="0"/>
        <w:numId w:val="6"/>
      </w:numPr>
      <w:tabs>
        <w:tab w:val="clear" w:pos="720"/>
      </w:tabs>
      <w:ind w:hanging="720" w:start="3600" w:end="0"/>
    </w:pPr>
    <w:rPr/>
  </w:style>
  <w:style w:type="paragraph" w:styleId="ListBullet41">
    <w:name w:val="List Bullet 41"/>
    <w:basedOn w:val="Normal"/>
    <w:qFormat/>
    <w:pPr>
      <w:numPr>
        <w:ilvl w:val="0"/>
        <w:numId w:val="7"/>
      </w:numPr>
      <w:tabs>
        <w:tab w:val="clear" w:pos="720"/>
      </w:tabs>
      <w:ind w:hanging="720" w:start="2880" w:end="0"/>
    </w:pPr>
    <w:rPr/>
  </w:style>
  <w:style w:type="paragraph" w:styleId="PlainText">
    <w:name w:val="Plain Text"/>
    <w:basedOn w:val="Normal"/>
    <w:qFormat/>
    <w:pPr/>
    <w:rPr>
      <w:sz w:val="20"/>
    </w:rPr>
  </w:style>
  <w:style w:type="paragraph" w:styleId="Subtitle">
    <w:name w:val="Subtitle"/>
    <w:basedOn w:val="Normal"/>
    <w:next w:val="BodyText"/>
    <w:qFormat/>
    <w:pPr>
      <w:keepNext w:val="true"/>
      <w:spacing w:before="0" w:after="240"/>
      <w:jc w:val="center"/>
    </w:pPr>
    <w:rPr>
      <w:b/>
    </w:rPr>
  </w:style>
  <w:style w:type="paragraph" w:styleId="TableofAuthorities">
    <w:name w:val="Table of Authorities"/>
    <w:basedOn w:val="Normal"/>
    <w:next w:val="Normal"/>
    <w:qFormat/>
    <w:pPr>
      <w:spacing w:before="0" w:after="120"/>
      <w:ind w:hanging="245" w:start="245" w:end="0"/>
    </w:pPr>
    <w:rPr/>
  </w:style>
  <w:style w:type="paragraph" w:styleId="BodyTextFirstIndent3">
    <w:name w:val="Body Text First Indent 3"/>
    <w:basedOn w:val="Normal"/>
    <w:qFormat/>
    <w:pPr>
      <w:spacing w:lineRule="auto" w:line="480" w:before="0" w:after="120"/>
      <w:ind w:firstLine="1440" w:start="0" w:end="0"/>
    </w:pPr>
    <w:rPr/>
  </w:style>
  <w:style w:type="paragraph" w:styleId="ListNumber5">
    <w:name w:val="List Number 5"/>
    <w:basedOn w:val="Normal"/>
    <w:qFormat/>
    <w:pPr>
      <w:numPr>
        <w:ilvl w:val="0"/>
        <w:numId w:val="2"/>
      </w:numPr>
      <w:tabs>
        <w:tab w:val="clear" w:pos="720"/>
      </w:tabs>
    </w:pPr>
    <w:rPr/>
  </w:style>
  <w:style w:type="paragraph" w:styleId="Quote">
    <w:name w:val="Quote"/>
    <w:basedOn w:val="Normal"/>
    <w:next w:val="BodyText"/>
    <w:qFormat/>
    <w:pPr>
      <w:spacing w:before="0" w:after="240"/>
      <w:ind w:hanging="0" w:start="720" w:end="720"/>
    </w:pPr>
    <w:rPr/>
  </w:style>
  <w:style w:type="paragraph" w:styleId="Bold">
    <w:name w:val="Bold"/>
    <w:basedOn w:val="Normal"/>
    <w:next w:val="BodyText"/>
    <w:qFormat/>
    <w:pPr>
      <w:keepNext w:val="true"/>
      <w:spacing w:before="0" w:after="240"/>
    </w:pPr>
    <w:rPr>
      <w:b/>
    </w:rPr>
  </w:style>
  <w:style w:type="paragraph" w:styleId="BoldCapCenter">
    <w:name w:val="BoldCapCenter"/>
    <w:basedOn w:val="Normal"/>
    <w:next w:val="BodyText"/>
    <w:qFormat/>
    <w:pPr>
      <w:keepNext w:val="true"/>
      <w:spacing w:before="0" w:after="240"/>
      <w:jc w:val="center"/>
    </w:pPr>
    <w:rPr>
      <w:b/>
      <w:caps/>
    </w:rPr>
  </w:style>
  <w:style w:type="paragraph" w:styleId="Underline">
    <w:name w:val="Underline"/>
    <w:basedOn w:val="Normal"/>
    <w:next w:val="BodyText"/>
    <w:qFormat/>
    <w:pPr>
      <w:keepNext w:val="true"/>
      <w:spacing w:before="0" w:after="240"/>
    </w:pPr>
    <w:rPr>
      <w:u w:val="single"/>
    </w:rPr>
  </w:style>
  <w:style w:type="paragraph" w:styleId="Italic">
    <w:name w:val="Italic"/>
    <w:basedOn w:val="Normal"/>
    <w:next w:val="BodyText"/>
    <w:qFormat/>
    <w:pPr>
      <w:keepNext w:val="true"/>
      <w:spacing w:before="0" w:after="240"/>
    </w:pPr>
    <w:rPr>
      <w:i/>
    </w:rPr>
  </w:style>
  <w:style w:type="paragraph" w:styleId="ListContinue5">
    <w:name w:val="List Continue 5"/>
    <w:basedOn w:val="Normal"/>
    <w:qFormat/>
    <w:pPr>
      <w:spacing w:before="0" w:after="120"/>
      <w:ind w:hanging="0" w:start="1800" w:end="0"/>
    </w:pPr>
    <w:rPr/>
  </w:style>
  <w:style w:type="paragraph" w:styleId="CommentText">
    <w:name w:val="Comment Text"/>
    <w:basedOn w:val="Normal"/>
    <w:qFormat/>
    <w:pPr/>
    <w:rPr>
      <w:sz w:val="20"/>
    </w:rPr>
  </w:style>
  <w:style w:type="paragraph" w:styleId="Date">
    <w:name w:val="Date"/>
    <w:basedOn w:val="Normal"/>
    <w:next w:val="Normal"/>
    <w:qFormat/>
    <w:pPr>
      <w:spacing w:before="0" w:after="240"/>
    </w:pPr>
    <w:rPr/>
  </w:style>
  <w:style w:type="paragraph" w:styleId="DocumentMap">
    <w:name w:val="Document Map"/>
    <w:basedOn w:val="Normal"/>
    <w:qFormat/>
    <w:pPr>
      <w:shd w:fill="000080" w:val="clear"/>
    </w:pPr>
    <w:rPr>
      <w:sz w:val="20"/>
    </w:rPr>
  </w:style>
  <w:style w:type="paragraph" w:styleId="Index2">
    <w:name w:val="index 2"/>
    <w:basedOn w:val="Normal"/>
    <w:next w:val="BodyText"/>
    <w:pPr>
      <w:ind w:hanging="202" w:start="404" w:end="0"/>
    </w:pPr>
    <w:rPr/>
  </w:style>
  <w:style w:type="paragraph" w:styleId="Index3">
    <w:name w:val="index 3"/>
    <w:basedOn w:val="Normal"/>
    <w:next w:val="BodyText"/>
    <w:pPr>
      <w:ind w:hanging="202" w:start="605" w:end="0"/>
    </w:pPr>
    <w:rPr/>
  </w:style>
  <w:style w:type="paragraph" w:styleId="Index4">
    <w:name w:val="Index 4"/>
    <w:basedOn w:val="Normal"/>
    <w:next w:val="BodyText"/>
    <w:qFormat/>
    <w:pPr>
      <w:ind w:hanging="202" w:start="807" w:end="0"/>
    </w:pPr>
    <w:rPr/>
  </w:style>
  <w:style w:type="paragraph" w:styleId="Index5">
    <w:name w:val="Index 5"/>
    <w:basedOn w:val="Normal"/>
    <w:next w:val="BodyText"/>
    <w:qFormat/>
    <w:pPr>
      <w:ind w:hanging="202" w:start="1008" w:end="0"/>
    </w:pPr>
    <w:rPr/>
  </w:style>
  <w:style w:type="paragraph" w:styleId="Index6">
    <w:name w:val="Index 6"/>
    <w:basedOn w:val="Normal"/>
    <w:next w:val="BodyText"/>
    <w:qFormat/>
    <w:pPr>
      <w:ind w:hanging="202" w:start="1196" w:end="0"/>
    </w:pPr>
    <w:rPr/>
  </w:style>
  <w:style w:type="paragraph" w:styleId="Index7">
    <w:name w:val="Index 7"/>
    <w:basedOn w:val="Normal"/>
    <w:next w:val="BodyText"/>
    <w:qFormat/>
    <w:pPr>
      <w:ind w:hanging="202" w:start="1397" w:end="0"/>
    </w:pPr>
    <w:rPr/>
  </w:style>
  <w:style w:type="paragraph" w:styleId="Index8">
    <w:name w:val="Index 8"/>
    <w:basedOn w:val="Normal"/>
    <w:next w:val="BodyText"/>
    <w:qFormat/>
    <w:pPr>
      <w:ind w:hanging="202" w:start="1599" w:end="0"/>
    </w:pPr>
    <w:rPr/>
  </w:style>
  <w:style w:type="paragraph" w:styleId="Index9">
    <w:name w:val="Index 9"/>
    <w:basedOn w:val="Normal"/>
    <w:next w:val="BodyText"/>
    <w:qFormat/>
    <w:pPr>
      <w:ind w:hanging="202" w:start="180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31">
    <w:name w:val="List Bullet 31"/>
    <w:basedOn w:val="Normal"/>
    <w:qFormat/>
    <w:pPr>
      <w:numPr>
        <w:ilvl w:val="0"/>
        <w:numId w:val="8"/>
      </w:numPr>
      <w:tabs>
        <w:tab w:val="clear" w:pos="720"/>
      </w:tabs>
      <w:ind w:hanging="720" w:start="2160" w:end="0"/>
    </w:pPr>
    <w:rPr/>
  </w:style>
  <w:style w:type="paragraph" w:styleId="ListBullet21">
    <w:name w:val="List Bullet 21"/>
    <w:basedOn w:val="Normal"/>
    <w:qFormat/>
    <w:pPr>
      <w:numPr>
        <w:ilvl w:val="0"/>
        <w:numId w:val="9"/>
      </w:numPr>
      <w:tabs>
        <w:tab w:val="clear" w:pos="720"/>
      </w:tabs>
      <w:ind w:hanging="720" w:start="1440" w:end="0"/>
    </w:pPr>
    <w:rPr/>
  </w:style>
  <w:style w:type="paragraph" w:styleId="ListBullet">
    <w:name w:val="List Bullet"/>
    <w:basedOn w:val="Normal"/>
    <w:qFormat/>
    <w:pPr>
      <w:numPr>
        <w:ilvl w:val="0"/>
        <w:numId w:val="11"/>
      </w:numPr>
      <w:tabs>
        <w:tab w:val="clear" w:pos="720"/>
      </w:tabs>
      <w:ind w:hanging="720" w:start="72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Number4">
    <w:name w:val="List Number 4"/>
    <w:basedOn w:val="Normal"/>
    <w:qFormat/>
    <w:pPr>
      <w:numPr>
        <w:ilvl w:val="0"/>
        <w:numId w:val="3"/>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NormalIndent">
    <w:name w:val="Normal Indent"/>
    <w:basedOn w:val="Normal"/>
    <w:qFormat/>
    <w:pPr>
      <w:ind w:hanging="0" w:start="720" w:end="0"/>
    </w:pPr>
    <w:rPr/>
  </w:style>
  <w:style w:type="paragraph" w:styleId="TableofFigures">
    <w:name w:val="Table of Figures"/>
    <w:basedOn w:val="Normal"/>
    <w:next w:val="Normal"/>
    <w:qFormat/>
    <w:pPr>
      <w:spacing w:before="0" w:after="120"/>
      <w:ind w:hanging="475" w:start="475" w:end="0"/>
    </w:pPr>
    <w:rPr/>
  </w:style>
  <w:style w:type="paragraph" w:styleId="TOAHeading">
    <w:name w:val="TOA Heading"/>
    <w:basedOn w:val="Normal"/>
    <w:next w:val="Normal"/>
    <w:qFormat/>
    <w:pPr>
      <w:spacing w:before="0" w:after="240"/>
      <w:jc w:val="center"/>
      <w:outlineLvl w:val="0"/>
    </w:pPr>
    <w:rPr>
      <w:b/>
    </w:rPr>
  </w:style>
  <w:style w:type="paragraph" w:styleId="TOC2">
    <w:name w:val="toc 2"/>
    <w:basedOn w:val="Normal"/>
    <w:next w:val="Normal"/>
    <w:pPr>
      <w:ind w:hanging="0" w:start="240" w:end="0"/>
    </w:pPr>
    <w:rPr/>
  </w:style>
  <w:style w:type="paragraph" w:styleId="NoteHeading">
    <w:name w:val="Note Heading"/>
    <w:basedOn w:val="Normal"/>
    <w:next w:val="BodyText"/>
    <w:qFormat/>
    <w:pPr/>
    <w:rPr/>
  </w:style>
  <w:style w:type="paragraph" w:styleId="Salutation">
    <w:name w:val="Salutation"/>
    <w:basedOn w:val="Normal"/>
    <w:next w:val="BodyText"/>
    <w:qFormat/>
    <w:pPr>
      <w:spacing w:before="0" w:after="240"/>
    </w:pPr>
    <w:rPr/>
  </w:style>
  <w:style w:type="paragraph" w:styleId="TOC1">
    <w:name w:val="toc 1"/>
    <w:basedOn w:val="Normal"/>
    <w:next w:val="Normal"/>
    <w:pPr/>
    <w:rPr/>
  </w:style>
  <w:style w:type="paragraph" w:styleId="TOC9">
    <w:name w:val="toc 9"/>
    <w:basedOn w:val="Normal"/>
    <w:next w:val="Normal"/>
    <w:pPr>
      <w:ind w:hanging="0" w:start="1920" w:end="0"/>
    </w:pPr>
    <w:rPr/>
  </w:style>
  <w:style w:type="paragraph" w:styleId="TOC8">
    <w:name w:val="toc 8"/>
    <w:basedOn w:val="Normal"/>
    <w:next w:val="Normal"/>
    <w:pPr>
      <w:ind w:hanging="0" w:start="1680" w:end="0"/>
    </w:pPr>
    <w:rPr/>
  </w:style>
  <w:style w:type="paragraph" w:styleId="TOC7">
    <w:name w:val="toc 7"/>
    <w:basedOn w:val="Normal"/>
    <w:next w:val="Normal"/>
    <w:pPr>
      <w:ind w:hanging="0" w:start="1440" w:end="0"/>
    </w:pPr>
    <w:rPr/>
  </w:style>
  <w:style w:type="paragraph" w:styleId="TOC6">
    <w:name w:val="toc 6"/>
    <w:basedOn w:val="Normal"/>
    <w:next w:val="Normal"/>
    <w:pPr>
      <w:ind w:hanging="0" w:start="1200" w:end="0"/>
    </w:pPr>
    <w:rPr/>
  </w:style>
  <w:style w:type="paragraph" w:styleId="TOC5">
    <w:name w:val="toc 5"/>
    <w:basedOn w:val="Normal"/>
    <w:next w:val="Normal"/>
    <w:pPr>
      <w:ind w:hanging="0" w:start="960" w:end="0"/>
    </w:pPr>
    <w:rPr/>
  </w:style>
  <w:style w:type="paragraph" w:styleId="TOC4">
    <w:name w:val="toc 4"/>
    <w:basedOn w:val="Normal"/>
    <w:next w:val="Normal"/>
    <w:pPr>
      <w:ind w:hanging="0" w:start="720" w:end="0"/>
    </w:pPr>
    <w:rPr/>
  </w:style>
  <w:style w:type="paragraph" w:styleId="TOC3">
    <w:name w:val="toc 3"/>
    <w:basedOn w:val="Normal"/>
    <w:next w:val="Normal"/>
    <w:pPr>
      <w:ind w:hanging="0" w:start="480" w:end="0"/>
    </w:pPr>
    <w:rPr/>
  </w:style>
  <w:style w:type="paragraph" w:styleId="ListNumber">
    <w:name w:val="List Number"/>
    <w:basedOn w:val="Normal"/>
    <w:qFormat/>
    <w:pPr>
      <w:numPr>
        <w:ilvl w:val="0"/>
        <w:numId w:val="10"/>
      </w:numPr>
      <w:tabs>
        <w:tab w:val="clear" w:pos="720"/>
      </w:tabs>
    </w:pPr>
    <w:rPr/>
  </w:style>
  <w:style w:type="paragraph" w:styleId="LHFirmName">
    <w:name w:val="LH Firm Name"/>
    <w:basedOn w:val="Normal"/>
    <w:qFormat/>
    <w:pPr>
      <w:spacing w:before="0" w:after="120"/>
      <w:ind w:hanging="0" w:start="-720" w:end="0"/>
    </w:pPr>
    <w:rPr>
      <w:rFonts w:ascii="EngravrsRoman BT;Book Antiqua" w:hAnsi="EngravrsRoman BT;Book Antiqua" w:cs="EngravrsRoman BT;Book Antiqua"/>
      <w:b/>
      <w:spacing w:val="10"/>
      <w:sz w:val="15"/>
    </w:rPr>
  </w:style>
  <w:style w:type="paragraph" w:styleId="BodyTextContinued">
    <w:name w:val="Body Text Continued"/>
    <w:basedOn w:val="BodyText"/>
    <w:next w:val="BodyText"/>
    <w:qFormat/>
    <w:pPr>
      <w:ind w:hanging="0" w:start="0" w:end="0"/>
    </w:pPr>
    <w:rPr/>
  </w:style>
  <w:style w:type="paragraph" w:styleId="LetterClosing">
    <w:name w:val="LetterClosing"/>
    <w:basedOn w:val="Normal"/>
    <w:next w:val="Normal"/>
    <w:qFormat/>
    <w:pPr/>
    <w:rPr/>
  </w:style>
  <w:style w:type="paragraph" w:styleId="PleadingSignature">
    <w:name w:val="Pleading Signature"/>
    <w:basedOn w:val="Normal"/>
    <w:qFormat/>
    <w:pPr>
      <w:keepNext w:val="true"/>
      <w:keepLines/>
      <w:widowControl w:val="false"/>
    </w:pPr>
    <w:rPr/>
  </w:style>
  <w:style w:type="paragraph" w:styleId="LetterDate">
    <w:name w:val="Letter Date"/>
    <w:basedOn w:val="Normal"/>
    <w:next w:val="BodyText"/>
    <w:qFormat/>
    <w:pPr/>
    <w:rPr/>
  </w:style>
  <w:style w:type="paragraph" w:styleId="DeliveryPhrase">
    <w:name w:val="Delivery Phrase"/>
    <w:basedOn w:val="Normal"/>
    <w:next w:val="Normal"/>
    <w:qFormat/>
    <w:pPr>
      <w:spacing w:before="240" w:after="0"/>
    </w:pPr>
    <w:rPr>
      <w:b/>
      <w:caps/>
    </w:rPr>
  </w:style>
  <w:style w:type="paragraph" w:styleId="SDP">
    <w:name w:val="SDP"/>
    <w:basedOn w:val="Normal"/>
    <w:next w:val="Normal"/>
    <w:qFormat/>
    <w:pPr>
      <w:spacing w:before="240" w:after="0"/>
    </w:pPr>
    <w:rPr>
      <w:b/>
      <w:caps/>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Court">
    <w:name w:val="Court"/>
    <w:basedOn w:val="Normal"/>
    <w:qFormat/>
    <w:pPr>
      <w:spacing w:lineRule="auto" w:line="480" w:before="360" w:after="240"/>
      <w:jc w:val="center"/>
    </w:pPr>
    <w:rPr>
      <w:rFonts w:ascii="Times New Roman Bold" w:hAnsi="Times New Roman Bold" w:cs="Times New Roman Bold"/>
      <w:b/>
    </w:rPr>
  </w:style>
  <w:style w:type="paragraph" w:styleId="CourtLower">
    <w:name w:val="Court Lower"/>
    <w:basedOn w:val="Court"/>
    <w:qFormat/>
    <w:pPr>
      <w:spacing w:lineRule="auto" w:line="240" w:before="0" w:after="0"/>
    </w:pPr>
    <w:rPr>
      <w:b w:val="false"/>
    </w:rPr>
  </w:style>
  <w:style w:type="paragraph" w:styleId="DocumentTitle">
    <w:name w:val="Document Title"/>
    <w:basedOn w:val="CourtLower"/>
    <w:qFormat/>
    <w:pPr>
      <w:spacing w:before="240" w:after="0"/>
    </w:pPr>
    <w:rPr>
      <w:b/>
      <w:caps/>
      <w:sz w:val="30"/>
    </w:rPr>
  </w:style>
  <w:style w:type="paragraph" w:styleId="FirmInformation">
    <w:name w:val="Firm Information"/>
    <w:basedOn w:val="Normal"/>
    <w:qFormat/>
    <w:pPr>
      <w:ind w:hanging="0" w:start="86" w:end="0"/>
    </w:pPr>
    <w:rPr/>
  </w:style>
  <w:style w:type="paragraph" w:styleId="CourtAppealNo">
    <w:name w:val="CourtAppealNo"/>
    <w:basedOn w:val="CourtLower"/>
    <w:qFormat/>
    <w:pPr>
      <w:jc w:val="start"/>
    </w:pPr>
    <w:rPr/>
  </w:style>
  <w:style w:type="paragraph" w:styleId="HeadingL1">
    <w:name w:val="Heading_L1"/>
    <w:basedOn w:val="Normal"/>
    <w:next w:val="BodyText"/>
    <w:qFormat/>
    <w:pPr>
      <w:keepNext w:val="true"/>
      <w:numPr>
        <w:ilvl w:val="0"/>
        <w:numId w:val="12"/>
      </w:numPr>
      <w:spacing w:before="120" w:after="360"/>
      <w:outlineLvl w:val="0"/>
    </w:pPr>
    <w:rPr>
      <w:kern w:val="2"/>
    </w:rPr>
  </w:style>
  <w:style w:type="paragraph" w:styleId="HeadingL2">
    <w:name w:val="Heading_L2"/>
    <w:basedOn w:val="Normal"/>
    <w:next w:val="BodyText"/>
    <w:qFormat/>
    <w:pPr>
      <w:numPr>
        <w:ilvl w:val="0"/>
        <w:numId w:val="12"/>
      </w:numPr>
      <w:spacing w:before="0" w:after="240"/>
      <w:outlineLvl w:val="1"/>
    </w:pPr>
    <w:rPr/>
  </w:style>
  <w:style w:type="paragraph" w:styleId="HeadingL3">
    <w:name w:val="Heading_L3"/>
    <w:basedOn w:val="Normal"/>
    <w:next w:val="BodyText"/>
    <w:qFormat/>
    <w:pPr>
      <w:numPr>
        <w:ilvl w:val="0"/>
        <w:numId w:val="12"/>
      </w:numPr>
      <w:spacing w:before="0" w:after="240"/>
      <w:outlineLvl w:val="2"/>
    </w:pPr>
    <w:rPr/>
  </w:style>
  <w:style w:type="paragraph" w:styleId="HeadingL4">
    <w:name w:val="Heading_L4"/>
    <w:basedOn w:val="Normal"/>
    <w:next w:val="BodyText"/>
    <w:qFormat/>
    <w:pPr>
      <w:numPr>
        <w:ilvl w:val="0"/>
        <w:numId w:val="12"/>
      </w:numPr>
      <w:spacing w:before="0" w:after="240"/>
      <w:outlineLvl w:val="3"/>
    </w:pPr>
    <w:rPr/>
  </w:style>
  <w:style w:type="paragraph" w:styleId="HeadingL5">
    <w:name w:val="Heading_L5"/>
    <w:basedOn w:val="Normal"/>
    <w:next w:val="BodyText"/>
    <w:qFormat/>
    <w:pPr>
      <w:numPr>
        <w:ilvl w:val="0"/>
        <w:numId w:val="12"/>
      </w:numPr>
      <w:spacing w:before="0" w:after="240"/>
      <w:outlineLvl w:val="4"/>
    </w:pPr>
    <w:rPr/>
  </w:style>
  <w:style w:type="paragraph" w:styleId="HeadingL6">
    <w:name w:val="Heading_L6"/>
    <w:basedOn w:val="Normal"/>
    <w:next w:val="BodyText"/>
    <w:qFormat/>
    <w:pPr>
      <w:numPr>
        <w:ilvl w:val="0"/>
        <w:numId w:val="12"/>
      </w:numPr>
      <w:spacing w:before="0" w:after="240"/>
      <w:outlineLvl w:val="5"/>
    </w:pPr>
    <w:rPr/>
  </w:style>
  <w:style w:type="paragraph" w:styleId="HeadingL7">
    <w:name w:val="Heading_L7"/>
    <w:basedOn w:val="Normal"/>
    <w:next w:val="BodyText"/>
    <w:qFormat/>
    <w:pPr>
      <w:numPr>
        <w:ilvl w:val="0"/>
        <w:numId w:val="12"/>
      </w:numPr>
      <w:spacing w:before="0" w:after="240"/>
      <w:outlineLvl w:val="6"/>
    </w:pPr>
    <w:rPr/>
  </w:style>
  <w:style w:type="paragraph" w:styleId="HeadingL8">
    <w:name w:val="Heading_L8"/>
    <w:basedOn w:val="Normal"/>
    <w:next w:val="BodyText"/>
    <w:qFormat/>
    <w:pPr>
      <w:numPr>
        <w:ilvl w:val="0"/>
        <w:numId w:val="12"/>
      </w:numPr>
      <w:spacing w:before="0" w:after="240"/>
      <w:outlineLvl w:val="7"/>
    </w:pPr>
    <w:rPr/>
  </w:style>
  <w:style w:type="paragraph" w:styleId="HeadingL9">
    <w:name w:val="Heading_L9"/>
    <w:basedOn w:val="Normal"/>
    <w:next w:val="BodyText"/>
    <w:qFormat/>
    <w:pPr>
      <w:numPr>
        <w:ilvl w:val="0"/>
        <w:numId w:val="12"/>
      </w:numPr>
      <w:spacing w:before="0" w:after="240"/>
      <w:outlineLvl w:val="8"/>
    </w:pPr>
    <w:rPr/>
  </w:style>
  <w:style w:type="paragraph" w:styleId="footnote1">
    <w:name w:val="footnote1"/>
    <w:basedOn w:val="Quote"/>
    <w:qFormat/>
    <w:pPr>
      <w:spacing w:before="0" w:after="120"/>
      <w:ind w:firstLine="720" w:start="1440" w:end="720"/>
    </w:pPr>
    <w:rPr/>
  </w:style>
  <w:style w:type="paragraph" w:styleId="HeadingCont1">
    <w:name w:val="Heading Cont 1"/>
    <w:basedOn w:val="Heading"/>
    <w:qFormat/>
    <w:pPr/>
    <w:rPr/>
  </w:style>
  <w:style w:type="paragraph" w:styleId="HeadingCont2">
    <w:name w:val="Heading Cont 2"/>
    <w:basedOn w:val="Heading"/>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florio@TURN.org" TargetMode="External"/><Relationship Id="rId3" Type="http://schemas.openxmlformats.org/officeDocument/2006/relationships/hyperlink" Target="mailto:napedersen@jonesday.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yperlink" Target="mailto:m.florio@turn.org" TargetMode="External"/><Relationship Id="rId9" Type="http://schemas.openxmlformats.org/officeDocument/2006/relationships/hyperlink" Target="mailto:napedersen@jonesday.com" TargetMode="Externa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header" Target="header5.xml"/><Relationship Id="rId15" Type="http://schemas.openxmlformats.org/officeDocument/2006/relationships/header" Target="header6.xml"/><Relationship Id="rId16" Type="http://schemas.openxmlformats.org/officeDocument/2006/relationships/footer" Target="footer5.xml"/><Relationship Id="rId17" Type="http://schemas.openxmlformats.org/officeDocument/2006/relationships/footer" Target="footer6.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Pleading.dot</Template>
  <TotalTime>237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2001-06-20T17:13:00Z</dcterms:created>
  <dc:creator>robin beaman</dc:creator>
  <dc:description/>
  <dc:language>en-CA</dc:language>
  <cp:lastModifiedBy>Jaki Hawkins</cp:lastModifiedBy>
  <cp:lastPrinted>2001-06-20T16:53:00Z</cp:lastPrinted>
  <dcterms:modified xsi:type="dcterms:W3CDTF">2001-06-20T21:27:00Z</dcterms:modified>
  <cp:revision>49</cp:revision>
  <dc:subject/>
  <dc:title>BEFORE THE</dc:title>
</cp:coreProperties>
</file>