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BEFORE THE</w:t>
        <w:br/>
        <w:t>PUBLIC UTILITIES COMMISSION</w:t>
        <w:br/>
        <w:t>of the</w:t>
        <w:br/>
        <w:t>STATE OF CALIFORNIA</w:t>
      </w:r>
    </w:p>
    <w:p>
      <w:pPr>
        <w:pStyle w:val="Normal"/>
        <w:rPr>
          <w:sz w:val="28"/>
        </w:rPr>
      </w:pPr>
      <w:r>
        <w:rPr>
          <w:sz w:val="28"/>
        </w:rPr>
      </w:r>
    </w:p>
    <w:p>
      <w:pPr>
        <w:pStyle w:val="Normal"/>
        <w:rPr/>
      </w:pPr>
      <w:r>
        <w:rPr/>
      </w:r>
    </w:p>
    <w:tbl>
      <w:tblPr>
        <w:tblW w:w="9090" w:type="dxa"/>
        <w:jc w:val="start"/>
        <w:tblInd w:w="120" w:type="dxa"/>
        <w:tblLayout w:type="fixed"/>
        <w:tblCellMar>
          <w:top w:w="0" w:type="dxa"/>
          <w:start w:w="120" w:type="dxa"/>
          <w:bottom w:w="0" w:type="dxa"/>
          <w:end w:w="120" w:type="dxa"/>
        </w:tblCellMar>
      </w:tblPr>
      <w:tblGrid>
        <w:gridCol w:w="5400"/>
        <w:gridCol w:w="3690"/>
      </w:tblGrid>
      <w:tr>
        <w:trPr/>
        <w:tc>
          <w:tcPr>
            <w:tcW w:w="5400" w:type="dxa"/>
            <w:tcBorders>
              <w:bottom w:val="single" w:sz="4" w:space="0" w:color="000000"/>
              <w:end w:val="single" w:sz="4" w:space="0" w:color="000000"/>
            </w:tcBorders>
          </w:tcPr>
          <w:p>
            <w:pPr>
              <w:pStyle w:val="Normal"/>
              <w:snapToGrid w:val="false"/>
              <w:rPr>
                <w:lang w:eastAsia="en-US"/>
              </w:rPr>
            </w:pPr>
            <w:r>
              <w:rPr>
                <w:lang w:eastAsia="en-US"/>
              </w:rPr>
            </w:r>
          </w:p>
          <w:p>
            <w:pPr>
              <w:pStyle w:val="Normal"/>
              <w:rPr/>
            </w:pPr>
            <w:r>
              <w:rPr/>
              <w:t>Order Instituting Rulemaking into natural gas procurement and reliability issues.</w:t>
            </w:r>
          </w:p>
          <w:p>
            <w:pPr>
              <w:pStyle w:val="Normal"/>
              <w:rPr/>
            </w:pPr>
            <w:r>
              <w:rPr/>
            </w:r>
          </w:p>
        </w:tc>
        <w:tc>
          <w:tcPr>
            <w:tcW w:w="3690" w:type="dxa"/>
            <w:vMerge w:val="restart"/>
            <w:tcBorders/>
          </w:tcPr>
          <w:p>
            <w:pPr>
              <w:pStyle w:val="Normal"/>
              <w:snapToGrid w:val="false"/>
              <w:ind w:start="240" w:end="0"/>
              <w:rPr/>
            </w:pPr>
            <w:r>
              <w:rPr/>
            </w:r>
          </w:p>
          <w:p>
            <w:pPr>
              <w:pStyle w:val="Normal"/>
              <w:ind w:start="240" w:end="0"/>
              <w:jc w:val="center"/>
              <w:rPr/>
            </w:pPr>
            <w:r>
              <w:rPr/>
              <w:t>R.88-08-018</w:t>
            </w:r>
          </w:p>
          <w:p>
            <w:pPr>
              <w:pStyle w:val="Normal"/>
              <w:ind w:start="240" w:end="0"/>
              <w:jc w:val="center"/>
              <w:rPr/>
            </w:pPr>
            <w:r>
              <w:rPr/>
              <w:t>(Filed August 10, 1998)</w:t>
            </w:r>
          </w:p>
          <w:p>
            <w:pPr>
              <w:pStyle w:val="Normal"/>
              <w:ind w:start="240" w:end="0"/>
              <w:jc w:val="center"/>
              <w:rPr/>
            </w:pPr>
            <w:r>
              <w:rPr/>
            </w:r>
          </w:p>
          <w:p>
            <w:pPr>
              <w:pStyle w:val="Normal"/>
              <w:ind w:start="240" w:end="0"/>
              <w:jc w:val="center"/>
              <w:rPr/>
            </w:pPr>
            <w:r>
              <w:rPr/>
              <w:t>R.90-02-008</w:t>
            </w:r>
          </w:p>
          <w:p>
            <w:pPr>
              <w:pStyle w:val="Normal"/>
              <w:ind w:start="240" w:end="0"/>
              <w:jc w:val="center"/>
              <w:rPr/>
            </w:pPr>
            <w:r>
              <w:rPr/>
              <w:t>(Filed February 7, 1989)</w:t>
            </w:r>
          </w:p>
          <w:p>
            <w:pPr>
              <w:pStyle w:val="Normal"/>
              <w:ind w:start="240" w:end="0"/>
              <w:rPr/>
            </w:pPr>
            <w:r>
              <w:rPr/>
            </w:r>
          </w:p>
        </w:tc>
      </w:tr>
      <w:tr>
        <w:trPr/>
        <w:tc>
          <w:tcPr>
            <w:tcW w:w="5400" w:type="dxa"/>
            <w:tcBorders>
              <w:bottom w:val="single" w:sz="4" w:space="0" w:color="000000"/>
              <w:end w:val="single" w:sz="4" w:space="0" w:color="000000"/>
            </w:tcBorders>
          </w:tcPr>
          <w:p>
            <w:pPr>
              <w:pStyle w:val="Normal"/>
              <w:snapToGrid w:val="false"/>
              <w:rPr>
                <w:lang w:eastAsia="en-US"/>
              </w:rPr>
            </w:pPr>
            <w:r>
              <w:rPr>
                <w:lang w:eastAsia="en-US"/>
              </w:rPr>
            </w:r>
          </w:p>
          <w:p>
            <w:pPr>
              <w:pStyle w:val="Normal"/>
              <w:rPr>
                <w:lang w:eastAsia="en-US"/>
              </w:rPr>
            </w:pPr>
            <w:r>
              <w:rPr>
                <w:lang w:eastAsia="en-US"/>
              </w:rPr>
              <w:t>Order Instituting Rulemaking on the Commission’s own motion to change the structure of gas utilities’ procurement practices and to propose refinements to the regulatory framework for gas utilities.</w:t>
            </w:r>
          </w:p>
          <w:p>
            <w:pPr>
              <w:pStyle w:val="Normal"/>
              <w:rPr>
                <w:lang w:eastAsia="en-US"/>
              </w:rPr>
            </w:pPr>
            <w:r>
              <w:rPr>
                <w:lang w:eastAsia="en-US"/>
              </w:rPr>
            </w:r>
          </w:p>
        </w:tc>
        <w:tc>
          <w:tcPr>
            <w:tcW w:w="3690" w:type="dxa"/>
            <w:vMerge w:val="continue"/>
            <w:tcBorders/>
          </w:tcPr>
          <w:p>
            <w:pPr>
              <w:pStyle w:val="Normal"/>
              <w:snapToGrid w:val="false"/>
              <w:ind w:start="240" w:end="0"/>
              <w:rPr>
                <w:lang w:eastAsia="en-US"/>
              </w:rPr>
            </w:pPr>
            <w:r>
              <w:rPr>
                <w:lang w:eastAsia="en-US"/>
              </w:rPr>
            </w:r>
          </w:p>
        </w:tc>
      </w:tr>
    </w:tbl>
    <w:p>
      <w:pPr>
        <w:pStyle w:val="Normal"/>
        <w:rPr/>
      </w:pPr>
      <w:r>
        <w:rPr/>
      </w:r>
    </w:p>
    <w:p>
      <w:pPr>
        <w:pStyle w:val="Normal"/>
        <w:rPr/>
      </w:pPr>
      <w:r>
        <w:rPr/>
      </w:r>
    </w:p>
    <w:p>
      <w:pPr>
        <w:pStyle w:val="Normal"/>
        <w:rPr/>
      </w:pPr>
      <w:r>
        <w:rPr/>
      </w:r>
    </w:p>
    <w:p>
      <w:pPr>
        <w:pStyle w:val="Heading"/>
        <w:spacing w:before="0" w:after="1080"/>
        <w:rPr/>
      </w:pPr>
      <w:r>
        <w:rPr/>
        <w:t>SOUTHERN california generation coalition</w:t>
        <w:br/>
        <w:t>EMERGENCY PETITION FOR MODIFICATION</w:t>
        <w:br/>
        <w:t>of decisionS 90-09-089 and 97-11-070</w:t>
      </w:r>
    </w:p>
    <w:p>
      <w:pPr>
        <w:pStyle w:val="Heading"/>
        <w:rPr/>
      </w:pPr>
      <w:r>
        <w:rPr/>
      </w:r>
    </w:p>
    <w:p>
      <w:pPr>
        <w:pStyle w:val="Heading"/>
        <w:rPr/>
      </w:pPr>
      <w:r>
        <w:rPr/>
      </w:r>
    </w:p>
    <w:p>
      <w:pPr>
        <w:pStyle w:val="Heading"/>
        <w:rPr/>
      </w:pPr>
      <w:r>
        <w:rPr/>
      </w:r>
    </w:p>
    <w:tbl>
      <w:tblPr>
        <w:tblW w:w="9540" w:type="dxa"/>
        <w:jc w:val="start"/>
        <w:tblInd w:w="120" w:type="dxa"/>
        <w:tblLayout w:type="fixed"/>
        <w:tblCellMar>
          <w:top w:w="0" w:type="dxa"/>
          <w:start w:w="120" w:type="dxa"/>
          <w:bottom w:w="0" w:type="dxa"/>
          <w:end w:w="120" w:type="dxa"/>
        </w:tblCellMar>
      </w:tblPr>
      <w:tblGrid>
        <w:gridCol w:w="4770"/>
        <w:gridCol w:w="4770"/>
      </w:tblGrid>
      <w:tr>
        <w:trPr/>
        <w:tc>
          <w:tcPr>
            <w:tcW w:w="4770" w:type="dxa"/>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Dated:  February 14, 2001</w:t>
            </w:r>
          </w:p>
        </w:tc>
        <w:tc>
          <w:tcPr>
            <w:tcW w:w="4770" w:type="dxa"/>
            <w:tcBorders/>
          </w:tcPr>
          <w:p>
            <w:pPr>
              <w:pStyle w:val="Normal"/>
              <w:rPr/>
            </w:pPr>
            <w:r>
              <w:rPr/>
              <w:t>Norman A. Pedersen, Esq.</w:t>
            </w:r>
          </w:p>
          <w:p>
            <w:pPr>
              <w:pStyle w:val="Normal"/>
              <w:rPr/>
            </w:pPr>
            <w:r>
              <w:rPr>
                <w:b/>
              </w:rPr>
              <w:t>JONES, DAY, REAVIS &amp; POGUE</w:t>
              <w:br/>
            </w:r>
            <w:r>
              <w:rPr/>
              <w:t>555 West Fifth Street, Suite 4600</w:t>
              <w:br/>
              <w:t>Los Angeles, California 90013-1025</w:t>
              <w:br/>
              <w:t>Telephone: (213) 489-3939</w:t>
              <w:br/>
              <w:t>Facsimile:  (213) 243-2539</w:t>
            </w:r>
          </w:p>
          <w:p>
            <w:pPr>
              <w:pStyle w:val="Normal"/>
              <w:rPr/>
            </w:pPr>
            <w:r>
              <w:rPr/>
              <w:t xml:space="preserve">e-mail:  </w:t>
            </w:r>
            <w:hyperlink r:id="rId2">
              <w:r>
                <w:rPr>
                  <w:rStyle w:val="Hyperlink"/>
                </w:rPr>
                <w:t>napedersen@jonesday.com</w:t>
              </w:r>
            </w:hyperlink>
          </w:p>
          <w:p>
            <w:pPr>
              <w:pStyle w:val="Normal"/>
              <w:rPr/>
            </w:pPr>
            <w:r>
              <w:rPr/>
            </w:r>
          </w:p>
          <w:p>
            <w:pPr>
              <w:pStyle w:val="Normal"/>
              <w:rPr/>
            </w:pPr>
            <w:r>
              <w:rPr/>
              <w:t xml:space="preserve">Attorneys for </w:t>
            </w:r>
          </w:p>
          <w:p>
            <w:pPr>
              <w:pStyle w:val="Normal"/>
              <w:rPr>
                <w:b/>
              </w:rPr>
            </w:pPr>
            <w:r>
              <w:rPr>
                <w:b/>
              </w:rPr>
              <w:t>Southern California Generation Coalition</w:t>
            </w:r>
          </w:p>
        </w:tc>
      </w:tr>
    </w:tbl>
    <w:p>
      <w:pPr>
        <w:sectPr>
          <w:footerReference w:type="default" r:id="rId3"/>
          <w:footerReference w:type="first" r:id="rId4"/>
          <w:type w:val="nextPage"/>
          <w:pgSz w:w="12240" w:h="15840"/>
          <w:pgMar w:left="1440" w:right="1440" w:gutter="0" w:header="0" w:top="1440" w:footer="720" w:bottom="776"/>
          <w:pgNumType w:fmt="decimal"/>
          <w:formProt w:val="false"/>
          <w:titlePg/>
          <w:textDirection w:val="lrTb"/>
          <w:docGrid w:type="default" w:linePitch="360" w:charSpace="0"/>
        </w:sectPr>
        <w:pStyle w:val="Normal"/>
        <w:rPr/>
      </w:pPr>
      <w:r>
        <w:rPr/>
      </w:r>
    </w:p>
    <w:p>
      <w:pPr>
        <w:pStyle w:val="Heading"/>
        <w:ind w:end="72"/>
        <w:rPr>
          <w:sz w:val="28"/>
        </w:rPr>
      </w:pPr>
      <w:r>
        <w:rPr>
          <w:sz w:val="28"/>
        </w:rPr>
        <w:t>BEFORE THE</w:t>
        <w:br/>
        <w:t>PUBLIC UTILITIES COMMISSION</w:t>
        <w:br/>
        <w:t>of the</w:t>
        <w:br/>
        <w:t>STATE OF CALIFORNIA</w:t>
      </w:r>
    </w:p>
    <w:p>
      <w:pPr>
        <w:pStyle w:val="Normal"/>
        <w:rPr>
          <w:sz w:val="28"/>
        </w:rPr>
      </w:pPr>
      <w:r>
        <w:rPr>
          <w:sz w:val="28"/>
        </w:rPr>
      </w:r>
    </w:p>
    <w:tbl>
      <w:tblPr>
        <w:tblW w:w="9090" w:type="dxa"/>
        <w:jc w:val="start"/>
        <w:tblInd w:w="120" w:type="dxa"/>
        <w:tblLayout w:type="fixed"/>
        <w:tblCellMar>
          <w:top w:w="0" w:type="dxa"/>
          <w:start w:w="120" w:type="dxa"/>
          <w:bottom w:w="0" w:type="dxa"/>
          <w:end w:w="120" w:type="dxa"/>
        </w:tblCellMar>
      </w:tblPr>
      <w:tblGrid>
        <w:gridCol w:w="5400"/>
        <w:gridCol w:w="3690"/>
      </w:tblGrid>
      <w:tr>
        <w:trPr/>
        <w:tc>
          <w:tcPr>
            <w:tcW w:w="5400" w:type="dxa"/>
            <w:tcBorders>
              <w:bottom w:val="single" w:sz="4" w:space="0" w:color="000000"/>
              <w:end w:val="single" w:sz="4" w:space="0" w:color="000000"/>
            </w:tcBorders>
          </w:tcPr>
          <w:p>
            <w:pPr>
              <w:pStyle w:val="Normal"/>
              <w:snapToGrid w:val="false"/>
              <w:rPr>
                <w:lang w:eastAsia="en-US"/>
              </w:rPr>
            </w:pPr>
            <w:r>
              <w:rPr>
                <w:lang w:eastAsia="en-US"/>
              </w:rPr>
            </w:r>
          </w:p>
          <w:p>
            <w:pPr>
              <w:pStyle w:val="Normal"/>
              <w:rPr/>
            </w:pPr>
            <w:r>
              <w:rPr/>
              <w:t>Order Instituting Rulemaking into natural gas procurement and reliability issues.</w:t>
            </w:r>
          </w:p>
          <w:p>
            <w:pPr>
              <w:pStyle w:val="Normal"/>
              <w:rPr/>
            </w:pPr>
            <w:r>
              <w:rPr/>
            </w:r>
          </w:p>
        </w:tc>
        <w:tc>
          <w:tcPr>
            <w:tcW w:w="3690" w:type="dxa"/>
            <w:vMerge w:val="restart"/>
            <w:tcBorders/>
          </w:tcPr>
          <w:p>
            <w:pPr>
              <w:pStyle w:val="Normal"/>
              <w:snapToGrid w:val="false"/>
              <w:ind w:start="240" w:end="0"/>
              <w:rPr/>
            </w:pPr>
            <w:r>
              <w:rPr/>
            </w:r>
          </w:p>
          <w:p>
            <w:pPr>
              <w:pStyle w:val="Normal"/>
              <w:ind w:start="240" w:end="0"/>
              <w:jc w:val="center"/>
              <w:rPr/>
            </w:pPr>
            <w:r>
              <w:rPr/>
              <w:t>R.88-08-018</w:t>
            </w:r>
          </w:p>
          <w:p>
            <w:pPr>
              <w:pStyle w:val="Normal"/>
              <w:ind w:start="240" w:end="0"/>
              <w:jc w:val="center"/>
              <w:rPr/>
            </w:pPr>
            <w:r>
              <w:rPr/>
              <w:t>(Filed August 10, 1998)</w:t>
            </w:r>
          </w:p>
          <w:p>
            <w:pPr>
              <w:pStyle w:val="Normal"/>
              <w:ind w:start="240" w:end="0"/>
              <w:jc w:val="center"/>
              <w:rPr/>
            </w:pPr>
            <w:r>
              <w:rPr/>
            </w:r>
          </w:p>
          <w:p>
            <w:pPr>
              <w:pStyle w:val="Normal"/>
              <w:ind w:start="240" w:end="0"/>
              <w:jc w:val="center"/>
              <w:rPr/>
            </w:pPr>
            <w:r>
              <w:rPr/>
              <w:t>R.90-02-008</w:t>
            </w:r>
          </w:p>
          <w:p>
            <w:pPr>
              <w:pStyle w:val="Normal"/>
              <w:ind w:start="240" w:end="0"/>
              <w:jc w:val="center"/>
              <w:rPr/>
            </w:pPr>
            <w:r>
              <w:rPr/>
              <w:t>(Filed February 7, 1989)</w:t>
            </w:r>
          </w:p>
          <w:p>
            <w:pPr>
              <w:pStyle w:val="Normal"/>
              <w:ind w:start="240" w:end="0"/>
              <w:rPr/>
            </w:pPr>
            <w:r>
              <w:rPr/>
            </w:r>
          </w:p>
        </w:tc>
      </w:tr>
      <w:tr>
        <w:trPr/>
        <w:tc>
          <w:tcPr>
            <w:tcW w:w="5400" w:type="dxa"/>
            <w:tcBorders>
              <w:bottom w:val="single" w:sz="4" w:space="0" w:color="000000"/>
              <w:end w:val="single" w:sz="4" w:space="0" w:color="000000"/>
            </w:tcBorders>
          </w:tcPr>
          <w:p>
            <w:pPr>
              <w:pStyle w:val="Normal"/>
              <w:snapToGrid w:val="false"/>
              <w:rPr>
                <w:lang w:eastAsia="en-US"/>
              </w:rPr>
            </w:pPr>
            <w:r>
              <w:rPr>
                <w:lang w:eastAsia="en-US"/>
              </w:rPr>
            </w:r>
          </w:p>
          <w:p>
            <w:pPr>
              <w:pStyle w:val="Normal"/>
              <w:rPr>
                <w:lang w:eastAsia="en-US"/>
              </w:rPr>
            </w:pPr>
            <w:r>
              <w:rPr>
                <w:lang w:eastAsia="en-US"/>
              </w:rPr>
              <w:t>Order Instituting Rulemaking on the Commission’s own motion to change the structure of gas utilities’ procurement practices and to propose refinements to the regulatory framework for gas utilities.</w:t>
            </w:r>
          </w:p>
          <w:p>
            <w:pPr>
              <w:pStyle w:val="Normal"/>
              <w:rPr>
                <w:lang w:eastAsia="en-US"/>
              </w:rPr>
            </w:pPr>
            <w:r>
              <w:rPr>
                <w:lang w:eastAsia="en-US"/>
              </w:rPr>
            </w:r>
          </w:p>
        </w:tc>
        <w:tc>
          <w:tcPr>
            <w:tcW w:w="3690" w:type="dxa"/>
            <w:vMerge w:val="continue"/>
            <w:tcBorders/>
          </w:tcPr>
          <w:p>
            <w:pPr>
              <w:pStyle w:val="Normal"/>
              <w:snapToGrid w:val="false"/>
              <w:ind w:start="240" w:end="0"/>
              <w:rPr>
                <w:lang w:eastAsia="en-US"/>
              </w:rPr>
            </w:pPr>
            <w:r>
              <w:rPr>
                <w:lang w:eastAsia="en-US"/>
              </w:rPr>
            </w:r>
          </w:p>
        </w:tc>
      </w:tr>
    </w:tbl>
    <w:p>
      <w:pPr>
        <w:pStyle w:val="Normal"/>
        <w:rPr/>
      </w:pPr>
      <w:r>
        <w:rPr/>
      </w:r>
    </w:p>
    <w:p>
      <w:pPr>
        <w:pStyle w:val="Heading"/>
        <w:rPr/>
      </w:pPr>
      <w:r>
        <w:rPr/>
        <w:t>SOUTHERN california generation coalition</w:t>
        <w:br/>
        <w:t>EMERGENCY PETITION FOR MODIFICATION</w:t>
        <w:br/>
        <w:t>of decision 90-09-089 and 97-11-070</w:t>
      </w:r>
    </w:p>
    <w:p>
      <w:pPr>
        <w:pStyle w:val="Normal"/>
        <w:rPr>
          <w:u w:val="single"/>
        </w:rPr>
      </w:pPr>
      <w:r>
        <w:rPr>
          <w:u w:val="single"/>
        </w:rPr>
      </w:r>
    </w:p>
    <w:p>
      <w:pPr>
        <w:pStyle w:val="BodyTextFirstIndent2"/>
        <w:rPr/>
      </w:pPr>
      <w:r>
        <w:rPr/>
        <w:t>In accordance with Rule 47 of the Rules of Practice and Procedure of the California Public Utilities Commission (“Commission” or “CPUC”), the Southern California Generation Coalition (“SCGC”) respectfully requests that the Commission modify Decision (“D.”) D.90-09-089 (Sept. 25, 1989) and D.97-11-070 (Nov. 19, 1997) so that (1) the Southern California Gas Company (“SoCalGas”) 10 percent limit on monthly positive imbalances for noncore customers will be waived during winter balancing periods and (2) noncore customers will be permitted to combat gas price spikes by using their previous month's accumulated positive imbalance volumes to meet at least a portion of the “flowing supply” requirement that applies when SoCalGas implements its winter daily balancing rules.</w:t>
      </w:r>
    </w:p>
    <w:p>
      <w:pPr>
        <w:pStyle w:val="BodyTextFirstIndent2"/>
        <w:rPr/>
      </w:pPr>
      <w:r>
        <w:rPr/>
        <w:t xml:space="preserve">This Emergency Petition for Modification is being filed in response to a gas crisis.  Tomorrow, February 15, 2001, for the first time, SoCalGas will require that noncore customers meet a minimum of 90 percent of their daily burn with gas from flowing supplies or from storage (jointly, “Flowing Supplies”).  </w:t>
      </w:r>
      <w:r>
        <w:rPr>
          <w:i/>
        </w:rPr>
        <w:t>Gas Daily</w:t>
      </w:r>
      <w:r>
        <w:rPr/>
        <w:t xml:space="preserve">, 1,7 (Feb. 14, 2001).  Simultaneously, in response to the imposition of severe balancing requirements, gas prices are going "into the stratosphere." </w:t>
      </w:r>
      <w:r>
        <w:rPr>
          <w:u w:val="single"/>
        </w:rPr>
        <w:t>Id</w:t>
      </w:r>
      <w:r>
        <w:rPr/>
        <w:t xml:space="preserve">.  Today's </w:t>
      </w:r>
      <w:r>
        <w:rPr>
          <w:i/>
        </w:rPr>
        <w:t>Gas Daily</w:t>
      </w:r>
      <w:r>
        <w:rPr/>
        <w:t xml:space="preserve"> reports that yesterday, in response to the SoCalGas announcement that it is going to impose a 90 percent daily balancing requirement:  "The lid blew off the Southern California market, pushing prices past $40 into [SoCalGas] as traders scrambled to get into line with extremely strict balancing requirements." </w:t>
      </w:r>
      <w:r>
        <w:rPr>
          <w:i/>
          <w:u w:val="single"/>
        </w:rPr>
        <w:t>Id</w:t>
      </w:r>
      <w:r>
        <w:rPr/>
        <w:t>.  Accordingly, SCGC requests that the Commission take immediate action on this Petition pursuant to Rule 81(f) of the Rules of Practice and Procedure.  In the alternative, SCGC requests that the normal 30-day period normally allowed for responses to petitions for modification be shortened to five (5) days pursuant to Rule 47(f).</w:t>
      </w:r>
    </w:p>
    <w:p>
      <w:pPr>
        <w:pStyle w:val="HeadingL1"/>
        <w:numPr>
          <w:ilvl w:val="0"/>
          <w:numId w:val="12"/>
        </w:numPr>
        <w:ind w:hanging="0" w:start="0"/>
        <w:rPr>
          <w:b/>
        </w:rPr>
      </w:pPr>
      <w:r>
        <w:rPr>
          <w:b/>
        </w:rPr>
        <w:t>SUMMARY</w:t>
      </w:r>
    </w:p>
    <w:p>
      <w:pPr>
        <w:pStyle w:val="BodyTextFirstIndent2"/>
        <w:rPr/>
      </w:pPr>
      <w:r>
        <w:rPr/>
        <w:t xml:space="preserve">When SoCalGas requires that 70 percent or 90 percent of a noncore customer's daily burn must be met with Flowing Supplies, a customer must bring in excess gas in order to ensure that it will avoid penalties.  Indeed, noncore customers should be </w:t>
      </w:r>
      <w:r>
        <w:rPr>
          <w:i/>
        </w:rPr>
        <w:t xml:space="preserve">encouraged </w:t>
      </w:r>
      <w:r>
        <w:rPr/>
        <w:t xml:space="preserve">to bring in gas in excess of burn in the current gas crisis.  Yet, SoCalGas’ monthly balancing rules require that a customer not import more than 10 percent in excess of the customer’s monthly burn.  In order to facilitate customer efforts to bring in enough gas to avoid winter balancing penalties and to support the system by allowing customers to bring additional supplies into California without risking penalization, SCGC requests that the 10 percent positive monthly imbalance limitation be waived during the winter heating season, November through March.  </w:t>
      </w:r>
    </w:p>
    <w:p>
      <w:pPr>
        <w:pStyle w:val="BodyTextFirstIndent2"/>
        <w:rPr/>
      </w:pPr>
      <w:r>
        <w:rPr/>
        <w:t>SCGC also proposes that noncore customers be permitted to use accumulated positive imbalance volumes to cover a reasonable portion of the 70 percent or 90 percent Flowing Supply requirement that applies when winter daily balancing rules are in effect.  Specifically, SCGC requests that a customer be permitted to use its previous month's positive imbalance to meet the difference between 50 percent of the customer's daily burn and the daily Flowing Supply requirement, either 70 percent or 90 percent, that is in effect when daily balancing rules apply.   This flexibility will give customers an ability to combat the extreme price spikes that can occur at times such as now when daily balancing is imposed under SoCalGas’ winter balancing rules.</w:t>
      </w:r>
    </w:p>
    <w:p>
      <w:pPr>
        <w:pStyle w:val="BodyTextFirstIndent2"/>
        <w:rPr/>
      </w:pPr>
      <w:r>
        <w:rPr/>
        <w:t>When SoCalGas requires customers to balance daily, customers scramble to buy gas supplies in order to avoid penalties pegged at 150 percent of the highest Southern California Border price of gas for the day.  Customers can be forced to pay ever-higher prices to avoid ever-increasing penalties.  This can throw gas prices into an inflation spiral.  Giving customers an ability to use positive monthly imbalance volumes to meet Flowing Supply requirements will give customers at least some ability to say “no” to upward spiraling gas prices.</w:t>
      </w:r>
    </w:p>
    <w:p>
      <w:pPr>
        <w:pStyle w:val="HeadingL1"/>
        <w:numPr>
          <w:ilvl w:val="0"/>
          <w:numId w:val="12"/>
        </w:numPr>
        <w:ind w:hanging="0" w:start="0"/>
        <w:rPr>
          <w:b/>
        </w:rPr>
      </w:pPr>
      <w:bookmarkStart w:id="0" w:name="jas"/>
      <w:bookmarkEnd w:id="0"/>
      <w:r>
        <w:rPr>
          <w:b/>
        </w:rPr>
        <w:t>BASIS FOR SUBMISSION MORE THAN ONE YEAR AFTER THE EFFECTIVE DATE OF THE DECISIONS.</w:t>
      </w:r>
    </w:p>
    <w:p>
      <w:pPr>
        <w:pStyle w:val="BodyTextFirstIndent2"/>
        <w:rPr/>
      </w:pPr>
      <w:r>
        <w:rPr/>
        <w:t xml:space="preserve">SCGC recognizes that both D.90-09-089 and D.97-11-070 were issued more than a year ago.  Rule 47(d) of the Commission’s Rules of Practice and Procedure requires that if more than one year has elapsed since the effective date of the decision which is proposed to be modified, the petitioner must explain why it could not have requested modification within one year of the effective date.  </w:t>
      </w:r>
    </w:p>
    <w:p>
      <w:pPr>
        <w:pStyle w:val="BodyTextFirstIndent2"/>
        <w:rPr/>
      </w:pPr>
      <w:r>
        <w:rPr/>
        <w:t>As discussed above, this is the first time that customers have come face-to-face with coping with the imposition of 90 percent daily balancing requirements.  Also, this winter is the first time that California has confronted gas prices that were inconceivable as late as last fall.  Thus, the conditions which occasion the filing of this Petition did not exist either during the year following D.90-09-089 or during the year that followed the issuance of D.97-11-070.  Accordingly, SCGC respectfully requests that the Commission consider this Petition even though it is being submitted more than one year after the effective date of the decisions which are proposed to be modified.</w:t>
      </w:r>
    </w:p>
    <w:p>
      <w:pPr>
        <w:pStyle w:val="HeadingL1"/>
        <w:numPr>
          <w:ilvl w:val="0"/>
          <w:numId w:val="12"/>
        </w:numPr>
        <w:ind w:hanging="0" w:start="0"/>
        <w:rPr>
          <w:b/>
        </w:rPr>
      </w:pPr>
      <w:r>
        <w:rPr>
          <w:b/>
        </w:rPr>
        <w:t>BACKGROUND</w:t>
      </w:r>
    </w:p>
    <w:p>
      <w:pPr>
        <w:pStyle w:val="BodyTextFirstIndent2"/>
        <w:rPr/>
      </w:pPr>
      <w:r>
        <w:rPr/>
        <w:t xml:space="preserve">The Commission adopted monthly balancing rules for SoCalGas in D.90-09-089 (Sept. 25, 1990).  These rules provided that the monthly balancing tolerance for noncore customers on the SoCalGas system shall be plus or minus 10 percent of customer nominations.  The rules adopted in D.90-09-089 were as follows:  </w:t>
      </w:r>
    </w:p>
    <w:p>
      <w:pPr>
        <w:pStyle w:val="Quote"/>
        <w:rPr/>
      </w:pPr>
      <w:r>
        <w:rPr/>
        <w:t>The utilities shall provide balancing services to noncore customers.  The tolerance for balancing services shall be 10% of customer nominations.</w:t>
      </w:r>
    </w:p>
    <w:p>
      <w:pPr>
        <w:pStyle w:val="Quote"/>
        <w:rPr/>
      </w:pPr>
      <w:r>
        <w:rPr/>
        <w:t>Where positive imbalances fall outside the 10% tolerance at the end of a 30-day period, utilities shall purchase noncore customers' overnominations at a rate equal to the lower of the lowest incremental cost of gas or the system for that month or 50% of the core WACOG for the month.</w:t>
      </w:r>
    </w:p>
    <w:p>
      <w:pPr>
        <w:pStyle w:val="Quote"/>
        <w:rPr/>
      </w:pPr>
      <w:r>
        <w:rPr/>
        <w:t>Where negative imbalances fall outside the 10% tolerance at the end of a 30-day period, utilities shall charge customers for standby services.  Standby service gas rates shall be equal to the higher of 150% of the core WACOG for the month or the highest incremental cost of gas for the month.  Standby service shall have the lowest priority during periods of curtailment.</w:t>
      </w:r>
    </w:p>
    <w:p>
      <w:pPr>
        <w:pStyle w:val="Quote"/>
        <w:rPr/>
      </w:pPr>
      <w:r>
        <w:rPr/>
        <w:t xml:space="preserve">Noncore customers may trade imbalances to avoid liability for them.  The utilities may administer trading programs.  If they do so, no related costs shall be recovered solely, if at all, from participants in the trading program.  </w:t>
      </w:r>
    </w:p>
    <w:p>
      <w:pPr>
        <w:pStyle w:val="BlockText"/>
        <w:rPr/>
      </w:pPr>
      <w:r>
        <w:rPr/>
        <w:t>D.90-09-089, slip op. 77-78.  These monthly balancing rules were incorporated into the SoCalGas tariff and are in place today.  SoCalGas Schedule G-IMB, 1-3.</w:t>
      </w:r>
    </w:p>
    <w:p>
      <w:pPr>
        <w:pStyle w:val="BodyTextFirstIndent2"/>
        <w:rPr/>
      </w:pPr>
      <w:r>
        <w:rPr/>
        <w:t xml:space="preserve">Subsequently, in D.97-11-070 (Nov. 19, 1997), the Commission adopted winter balancing rules for SoCalGas.  The winter balancing rules apply in addition to the monthly balancing rules adopted in D.90-09-089.  In a nutshell, the winter balancing rules require that noncore customers deliver Flowing Supplies that are sufficient to meet at least 50 percent of their burn during each five-day period in the winter heating season that lasts from November through March.  As SoCalGas’ storage inventory declines during the winter, the Flowing Supply requirement becomes daily and increases first to 70 percent and then to 90 percent, depending upon the level of SoCalGas storage inventory relative to peak day storage minimums.  </w:t>
      </w:r>
      <w:r>
        <w:rPr>
          <w:i/>
        </w:rPr>
        <w:t>See</w:t>
      </w:r>
      <w:r>
        <w:rPr/>
        <w:t xml:space="preserve"> D.97-11-070, Appendix B, for a detailed description of the adopted proposal.  The adopted winter daily balancing scheme was incorporated into SoCalGas’ Schedule G</w:t>
        <w:noBreakHyphen/>
        <w:t xml:space="preserve">IMB through Advice Letter No. 2651-B (Dec. 23, 1997) and became effective without the issuance of an approving resolution on December 27, 1997.  </w:t>
      </w:r>
    </w:p>
    <w:p>
      <w:pPr>
        <w:pStyle w:val="BodyTextFirstIndent2"/>
        <w:rPr/>
      </w:pPr>
      <w:r>
        <w:rPr/>
        <w:t>SoCalGas storage dropped to a level such that it was necessary to implement the 70 percent daily balancing requirements during the winter 1997-1998.  However, during the 1998-1999 and 1999-2000 winters, SoCalGas avoided imposing daily balancing.  At the beginning of each winter heating season during those years, SoCalGas implemented the 50 percent/five-day balancing requirements approved in D.97-11-070 and contained in Schedule G</w:t>
        <w:noBreakHyphen/>
        <w:t xml:space="preserve">IMB, but SoCalGas did not need to move to daily balancing.  </w:t>
      </w:r>
    </w:p>
    <w:p>
      <w:pPr>
        <w:pStyle w:val="BodyTextFirstIndent2"/>
        <w:rPr/>
      </w:pPr>
      <w:r>
        <w:rPr/>
        <w:t>This winter, of course, is different.  This year, SoCalGas imposed a 70 percent daily balancing requirement on January 21, 2000 and is moving to 90 percent daily balancing on February 15, 2000.</w:t>
      </w:r>
    </w:p>
    <w:p>
      <w:pPr>
        <w:pStyle w:val="HeadingL1"/>
        <w:numPr>
          <w:ilvl w:val="0"/>
          <w:numId w:val="12"/>
        </w:numPr>
        <w:ind w:hanging="0" w:start="0"/>
        <w:rPr>
          <w:b/>
        </w:rPr>
      </w:pPr>
      <w:r>
        <w:rPr>
          <w:b/>
        </w:rPr>
        <w:t>D.90-09-089 SHOULD BE MODIFIED SO AS TO REMOVE THE 10 PERCENT LIMIT ON POSITIVE IMBALANCES DURING THE WINTER HEATING SEASON.</w:t>
      </w:r>
    </w:p>
    <w:p>
      <w:pPr>
        <w:pStyle w:val="BodyTextFirstIndent2"/>
        <w:rPr/>
      </w:pPr>
      <w:r>
        <w:rPr/>
        <w:t>Both noncore customers and the SoCalGas system as a whole would be benefited by removing the 10 percent limit on monthly imbalance tolerances during the winter heating season.  Clearly, customers would be benefited.  Removal of the 10 percent limit would permit them to bring gas into the system at levels sufficient to be assured of avoiding daily balancing penalties without running the risk of incurring monthly imbalance penalties.  Likewise, the SoCalGas system would be benefited insofar as additional positive supplies could be imported into the system so as to assure maintenance of system integrity, including system pressure.</w:t>
      </w:r>
    </w:p>
    <w:p>
      <w:pPr>
        <w:pStyle w:val="BodyTextFirstIndent2"/>
        <w:spacing w:before="0" w:after="0"/>
        <w:rPr/>
      </w:pPr>
      <w:r>
        <w:rPr/>
        <w:t xml:space="preserve">Permitting customers to bring gas into the system in excess of their burns would be entirely consistent with the purpose underlying the institution of winter balancing rules in 1997.  The genesis for the winter balancing rules was that SoCalGas alleged that it had problems with </w:t>
      </w:r>
      <w:r>
        <w:rPr>
          <w:i/>
        </w:rPr>
        <w:t xml:space="preserve">underdeliveries, </w:t>
      </w:r>
      <w:r>
        <w:rPr/>
        <w:t xml:space="preserve">not overdeliveries, during the 1996-1997 winter heating season.  SoCalGas did not have significant problems with underdeliveries during the first few winters following the implementation of the D.90-09-089 monthly balancing rules, but SoCalGas experienced substantial underdeliveries in winter, 1996-1997: </w:t>
      </w:r>
    </w:p>
    <w:p>
      <w:pPr>
        <w:pStyle w:val="Quote"/>
        <w:rPr/>
      </w:pPr>
      <w:r>
        <w:rPr/>
        <w:t>. . . SoCalGas had not had problems with underdeliveries since the adoption of the balancing rules in D.90-09-089.  During the 1996-1997 winter heating system, however, gas shippers delivered substantially less natural gas into SoCalGas’ system than they used.  During that period, western U.S. gas markets experienced a significant increase in natural gas prices while, at the same time, noncore customers chose not to use the same level of storage capacity for the winter heating season as they had in previous years.  As a result, gas shippers delivered to SoCalGas less than 50% of the amounts they used.  SoCalGas was forced to provide the remainder.</w:t>
      </w:r>
    </w:p>
    <w:p>
      <w:pPr>
        <w:pStyle w:val="BodyText"/>
        <w:spacing w:lineRule="auto" w:line="480" w:before="0" w:after="120"/>
        <w:ind w:hanging="0" w:end="0"/>
        <w:rPr/>
      </w:pPr>
      <w:r>
        <w:rPr/>
        <w:t xml:space="preserve">D.97-11-070, </w:t>
      </w:r>
      <w:r>
        <w:rPr>
          <w:i/>
        </w:rPr>
        <w:t>id.</w:t>
      </w:r>
      <w:r>
        <w:rPr/>
        <w:t xml:space="preserve">, 2.  SoCalGas did not have to eliminate standby service or curtail load to accommodate the 1996-1997 winter underdeliveries, but SoCalGas expressed concern that, in the future, underdeliveries by noncore customers could create problems.  </w:t>
      </w:r>
    </w:p>
    <w:p>
      <w:pPr>
        <w:pStyle w:val="BodyTextFirstIndent2"/>
        <w:rPr/>
      </w:pPr>
      <w:r>
        <w:rPr/>
        <w:t>SoCalGas filed Advice Letter No. 2529 in late 1996 seeking to revise its Schedule G</w:t>
        <w:noBreakHyphen/>
        <w:t>IMB to include daily balancing provisions.  In Resolution G-3200, the Commission expressed concern about underdeliveries during the winter heating season by noncore customers, but found that an advice letter procedure was inappropriate for the rule changes that SoCalGas proposed.  Subsequently, on July 18, 1997, SoCalGas filed a petition to modify the gas balancing rules adopted in D.90-09-089 so as to incorporate winter daily balancing requirements into Schedule G</w:t>
        <w:noBreakHyphen/>
        <w:t xml:space="preserve">IMB.  </w:t>
      </w:r>
    </w:p>
    <w:p>
      <w:pPr>
        <w:pStyle w:val="BodyTextFirstIndent2"/>
        <w:rPr/>
      </w:pPr>
      <w:r>
        <w:rPr/>
        <w:t xml:space="preserve">In all of its filings, SoCalGas emphasized that the need for adopting winter daily balancing rules was to address the issue of customer underdeliveries during the winter, not overdeliveries:  “SoCalGas argues that its rules must change to permit SoCalGas to manage </w:t>
      </w:r>
      <w:r>
        <w:rPr>
          <w:i/>
        </w:rPr>
        <w:t>underdeliveries</w:t>
      </w:r>
      <w:r>
        <w:rPr/>
        <w:t xml:space="preserve"> so that SoCalGas is not required to purchase supplies on gas shippers’ behalf or compromise firm storage customers’ withdrawal rights.”  D.97-11-070, </w:t>
      </w:r>
      <w:r>
        <w:rPr>
          <w:i/>
        </w:rPr>
        <w:t>id</w:t>
      </w:r>
      <w:r>
        <w:rPr/>
        <w:t xml:space="preserve">., 3  (emphasis added).  Indeed, winter overdeliveries by customers would benefit the SoCalGas system by offsetting any underdeliveries and by reducing SoCalGas’ need to withdraw storage.  </w:t>
      </w:r>
    </w:p>
    <w:p>
      <w:pPr>
        <w:pStyle w:val="BodyTextFirstIndent2"/>
        <w:rPr/>
      </w:pPr>
      <w:r>
        <w:rPr/>
        <w:t xml:space="preserve">Insofar as modifying D.90-09-089 so as to waive the current 10 percent limit on monthly imbalances during the winter heating season would benefit both noncore customers and the entire SoCalGas system and would be consistent with the protection that the winter balancing rules were intended to provide against underdeliveries by noncore customers, SCGC respectfully submits that the modification of SoCalGas’ monthly balancing rules that is proposed herein be adopted as soon as possible.  </w:t>
      </w:r>
    </w:p>
    <w:p>
      <w:pPr>
        <w:pStyle w:val="HeadingL1"/>
        <w:numPr>
          <w:ilvl w:val="0"/>
          <w:numId w:val="12"/>
        </w:numPr>
        <w:ind w:hanging="0" w:start="0"/>
        <w:rPr>
          <w:b/>
        </w:rPr>
      </w:pPr>
      <w:r>
        <w:rPr>
          <w:b/>
        </w:rPr>
        <w:t>A PORTION OF NONCORE CUSTOMER POSITIVE MONTHLY IMBALANCES SHOULD BE DEEMED TO BE FLOWING SUPPLY FOR PURPOSES OF MEETING SOCALGAS’ WINTER DAILY BALANCING FLOWING SUPPLY REQUIREMENT.</w:t>
      </w:r>
    </w:p>
    <w:p>
      <w:pPr>
        <w:pStyle w:val="BodyTextFirstIndent2"/>
        <w:rPr/>
      </w:pPr>
      <w:r>
        <w:rPr/>
        <w:t>In addition to proposing that D.90-09-029 be modified to waive the 10 percent limit on overdeliveries during the winter, SCGC proposes that D.97-11-070 be modified to permit the previous month's accumulated positive imbalance volumes to be deemed to constitute Flowing Supply for purposes of meeting a portion of the daily Flowing Supply requirement that applies when daily balancing rules are in effect.</w:t>
      </w:r>
    </w:p>
    <w:p>
      <w:pPr>
        <w:pStyle w:val="BodyTextFirstIndent2"/>
        <w:spacing w:before="0" w:after="0"/>
        <w:rPr/>
      </w:pPr>
      <w:r>
        <w:rPr/>
        <w:t>Permitting a customer to use the previous month's positive imbalance to satisfy a portion of the applicable Flowing Supply requirement under daily balancing conditions would help to counteract the tendency of SoCalGas’ Flowing Supply requirement to cause or aggravate price spikes.  As explained above, the penalty for violating the 70 percent or 90 percent Flowing Supply requirement is set at 150 percent of the highest Southern California Border price of gas for the day.  Schedule G</w:t>
        <w:noBreakHyphen/>
        <w:t>IMB, 2.  The prospect of being required to pay  the 150 percent penalty gives desperate customers an incentive to pay up to 150 percent of the highest current market price for gas in order to avoid paying the Flowing Supply shortfall penalty.  The experience of the last twenty-four hours since SoCalGas announced the imposition of a 90 percent balancing requirement is illustrative:</w:t>
      </w:r>
    </w:p>
    <w:p>
      <w:pPr>
        <w:pStyle w:val="Quote"/>
        <w:rPr/>
      </w:pPr>
      <w:r>
        <w:rPr/>
        <w:t>SoCal is expected to mandate 90% daily balancing by Thursday, [February 15, 2001,] backed up by stiff penalties of 150% of the highest reported price.  That would have been more than $60/mmBtu if it had been in effect yesterday.  That sparked some desperation in the market, as traders sought elusive firm sources of gas to make up imbalances, sources said.</w:t>
      </w:r>
    </w:p>
    <w:p>
      <w:pPr>
        <w:pStyle w:val="Normal"/>
        <w:spacing w:before="0" w:after="120"/>
        <w:rPr>
          <w:i/>
          <w:i/>
        </w:rPr>
      </w:pPr>
      <w:r>
        <w:rPr>
          <w:i/>
        </w:rPr>
        <w:t xml:space="preserve">Gas Daily, </w:t>
      </w:r>
      <w:r>
        <w:rPr/>
        <w:t>1,7 (Feb. 14, 2001)</w:t>
      </w:r>
    </w:p>
    <w:p>
      <w:pPr>
        <w:pStyle w:val="Normal"/>
        <w:rPr>
          <w:i/>
          <w:i/>
        </w:rPr>
      </w:pPr>
      <w:r>
        <w:rPr>
          <w:i/>
        </w:rPr>
      </w:r>
    </w:p>
    <w:p>
      <w:pPr>
        <w:pStyle w:val="BodyTextFirstIndent2"/>
        <w:rPr/>
      </w:pPr>
      <w:r>
        <w:rPr/>
        <w:t>The regulatory incentive that SoCalGas daily balancing penalties give customers to pay a price in excess of even the highest current market level is inflationary and can contribute to price spikes.  As the market prices go up, customers must pay an ever-higher price to avoid an ever-escalating penalty set at 150 percent of market.  Permitting customers to use the previous months' positive imbalance volumes in lieu of Flowing Supply to meet a portion of winter daily balancing Flowing Supply requirements would help to neutralize the inflationary effect of the penalty structure contained in SoCalGas’ Schedule G</w:t>
        <w:noBreakHyphen/>
        <w:t xml:space="preserve">IMB.  </w:t>
      </w:r>
    </w:p>
    <w:p>
      <w:pPr>
        <w:pStyle w:val="BodyTextFirstIndent2"/>
        <w:rPr/>
      </w:pPr>
      <w:r>
        <w:rPr/>
        <w:t xml:space="preserve">Gas prices spiked to unheard of levels in December, 2000, and gas prices are going up to stratospheric levels again.  </w:t>
      </w:r>
      <w:r>
        <w:rPr>
          <w:i/>
        </w:rPr>
        <w:t>Gas Daily,</w:t>
      </w:r>
      <w:r>
        <w:rPr/>
        <w:t xml:space="preserve"> </w:t>
      </w:r>
      <w:r>
        <w:rPr>
          <w:i/>
        </w:rPr>
        <w:t>id.</w:t>
      </w:r>
      <w:r>
        <w:rPr/>
        <w:t xml:space="preserve">  This is clearly the right time to take at least a modest step that would give customers some ability to resist spiking gas prices.</w:t>
      </w:r>
    </w:p>
    <w:p>
      <w:pPr>
        <w:pStyle w:val="BodyTextFirstIndent2"/>
        <w:rPr/>
      </w:pPr>
      <w:r>
        <w:rPr/>
        <w:t>SoCalGas might object that a customer's accumulated positive imbalance for a month is not determined by SoCalGas and communicated to a customer until several days into the following month.  That should not be allowed to be an obstacle to granting the requested relief, however.  A customer may have to wait several days before knowing the exact amount of the previous month's imbalance that will be available to be deemed to be Flowing Supply, but after knowing the amount of imbalance gas that is available from the previous month, the customer will be able to use the imbalance gas to fight price spikes for the remainder of the current month.  This month, February, 2001, for example, customers already know their imbalance volumes from January 2001 and would be greatly benefited if they could use their January imbalance volumes to meet a portion of their daily Flowing Supply requirement.</w:t>
      </w:r>
    </w:p>
    <w:p>
      <w:pPr>
        <w:pStyle w:val="HeadingL1"/>
        <w:numPr>
          <w:ilvl w:val="0"/>
          <w:numId w:val="12"/>
        </w:numPr>
        <w:ind w:hanging="0" w:start="0"/>
        <w:rPr>
          <w:b/>
        </w:rPr>
      </w:pPr>
      <w:r>
        <w:rPr>
          <w:b/>
        </w:rPr>
        <w:t>CONCLUSION</w:t>
      </w:r>
    </w:p>
    <w:p>
      <w:pPr>
        <w:pStyle w:val="BodyTextFirstIndent2"/>
        <w:spacing w:before="0" w:after="240"/>
        <w:rPr/>
      </w:pPr>
      <w:r>
        <w:rPr/>
        <w:t xml:space="preserve">WHEREFORE, for the reasons set forth above, SCGC requests that the Commission modify the monthly daily balancing requirements adopted in D.90-09-089 so as to waive the current 10 percent limit on monthly imbalances during the winter heating season.  Furthermore, SCGC requests that the Commission modify D.97-11-070 so as to permit customers to use accumulated positive monthly imbalance volumes to meet winter daily balancing Flowing Supply requirements above 50 percent of the customers’ daily burn.  In light of the gas emergency that occasions the filing of this Petition for Modification, SCGC requests that the Commission take immediate action on this Petition pursuant to Rule 81(f) of the Commission’s Rules of Practice and Procedure or, in the alternative, shorten the period allowed for responses to this Petition to five (5) days pursuant to Rule 47(f).  </w:t>
      </w:r>
    </w:p>
    <w:tbl>
      <w:tblPr>
        <w:tblW w:w="9324" w:type="dxa"/>
        <w:jc w:val="center"/>
        <w:tblInd w:w="0" w:type="dxa"/>
        <w:tblLayout w:type="fixed"/>
        <w:tblCellMar>
          <w:top w:w="0" w:type="dxa"/>
          <w:start w:w="108" w:type="dxa"/>
          <w:bottom w:w="0" w:type="dxa"/>
          <w:end w:w="108" w:type="dxa"/>
        </w:tblCellMar>
      </w:tblPr>
      <w:tblGrid>
        <w:gridCol w:w="4752"/>
        <w:gridCol w:w="4572"/>
      </w:tblGrid>
      <w:tr>
        <w:trPr/>
        <w:tc>
          <w:tcPr>
            <w:tcW w:w="4752" w:type="dxa"/>
            <w:tcBorders/>
          </w:tcPr>
          <w:p>
            <w:pPr>
              <w:pStyle w:val="PleadingSignature"/>
              <w:keepNext w:val="false"/>
              <w:keepLines w:val="false"/>
              <w:snapToGrid w:val="false"/>
              <w:rPr/>
            </w:pPr>
            <w:r>
              <w:rPr/>
            </w:r>
            <w:bookmarkStart w:id="1" w:name="_zzmpFIXED_SignatureTable"/>
            <w:bookmarkStart w:id="2" w:name="_zzmpFIXED_SignatureTable"/>
            <w:bookmarkEnd w:id="2"/>
          </w:p>
          <w:p>
            <w:pPr>
              <w:pStyle w:val="PleadingSignature"/>
              <w:keepNext w:val="false"/>
              <w:keepLines w:val="false"/>
              <w:rPr/>
            </w:pPr>
            <w:r>
              <w:rPr/>
            </w:r>
          </w:p>
          <w:p>
            <w:pPr>
              <w:pStyle w:val="PleadingSignature"/>
              <w:keepNext w:val="false"/>
              <w:keepLines w:val="false"/>
              <w:rPr/>
            </w:pPr>
            <w:r>
              <w:rPr/>
            </w:r>
          </w:p>
          <w:p>
            <w:pPr>
              <w:pStyle w:val="PleadingSignature"/>
              <w:keepNext w:val="false"/>
              <w:keepLines w:val="false"/>
              <w:rPr/>
            </w:pPr>
            <w:r>
              <w:rPr/>
            </w:r>
          </w:p>
          <w:p>
            <w:pPr>
              <w:pStyle w:val="PleadingSignature"/>
              <w:keepNext w:val="false"/>
              <w:keepLines w:val="false"/>
              <w:rPr/>
            </w:pPr>
            <w:r>
              <w:rPr/>
            </w:r>
          </w:p>
          <w:p>
            <w:pPr>
              <w:pStyle w:val="PleadingSignature"/>
              <w:keepNext w:val="false"/>
              <w:keepLines w:val="false"/>
              <w:rPr/>
            </w:pPr>
            <w:r>
              <w:rPr/>
            </w:r>
          </w:p>
          <w:p>
            <w:pPr>
              <w:pStyle w:val="PleadingSignature"/>
              <w:keepNext w:val="false"/>
              <w:keepLines w:val="false"/>
              <w:rPr/>
            </w:pPr>
            <w:r>
              <w:rPr/>
            </w:r>
          </w:p>
          <w:p>
            <w:pPr>
              <w:pStyle w:val="PleadingSignature"/>
              <w:keepNext w:val="false"/>
              <w:keepLines w:val="false"/>
              <w:rPr/>
            </w:pPr>
            <w:r>
              <w:rPr/>
            </w:r>
          </w:p>
          <w:p>
            <w:pPr>
              <w:pStyle w:val="PleadingSignature"/>
              <w:keepNext w:val="false"/>
              <w:keepLines w:val="false"/>
              <w:rPr/>
            </w:pPr>
            <w:r>
              <w:rPr/>
            </w:r>
          </w:p>
          <w:p>
            <w:pPr>
              <w:pStyle w:val="PleadingSignature"/>
              <w:keepNext w:val="false"/>
              <w:keepLines w:val="false"/>
              <w:rPr/>
            </w:pPr>
            <w:r>
              <w:rPr/>
            </w:r>
          </w:p>
          <w:p>
            <w:pPr>
              <w:pStyle w:val="PleadingSignature"/>
              <w:keepNext w:val="false"/>
              <w:keepLines w:val="false"/>
              <w:rPr/>
            </w:pPr>
            <w:r>
              <w:rPr/>
            </w:r>
          </w:p>
          <w:p>
            <w:pPr>
              <w:pStyle w:val="PleadingSignature"/>
              <w:keepNext w:val="false"/>
              <w:keepLines w:val="false"/>
              <w:rPr/>
            </w:pPr>
            <w:r>
              <w:rPr/>
            </w:r>
          </w:p>
          <w:p>
            <w:pPr>
              <w:pStyle w:val="PleadingSignature"/>
              <w:keepNext w:val="false"/>
              <w:keepLines w:val="false"/>
              <w:rPr/>
            </w:pPr>
            <w:r>
              <w:rPr/>
            </w:r>
          </w:p>
          <w:p>
            <w:pPr>
              <w:pStyle w:val="PleadingSignature"/>
              <w:keepNext w:val="false"/>
              <w:keepLines w:val="false"/>
              <w:rPr/>
            </w:pPr>
            <w:r>
              <w:rPr/>
              <w:t>Dated:</w:t>
              <w:tab/>
              <w:t xml:space="preserve"> February 14, 2001</w:t>
            </w:r>
          </w:p>
          <w:p>
            <w:pPr>
              <w:pStyle w:val="PleadingSignature"/>
              <w:rPr/>
            </w:pPr>
            <w:r>
              <w:rPr/>
            </w:r>
          </w:p>
        </w:tc>
        <w:tc>
          <w:tcPr>
            <w:tcW w:w="4572" w:type="dxa"/>
            <w:tcBorders/>
          </w:tcPr>
          <w:p>
            <w:pPr>
              <w:pStyle w:val="PleadingSignature"/>
              <w:rPr/>
            </w:pPr>
            <w:r>
              <w:rPr/>
              <w:t>Respectfully submitted,</w:t>
            </w:r>
          </w:p>
          <w:p>
            <w:pPr>
              <w:pStyle w:val="PleadingSignature"/>
              <w:spacing w:before="720" w:after="0"/>
              <w:rPr>
                <w:u w:val="single"/>
              </w:rPr>
            </w:pPr>
            <w:r>
              <w:rPr>
                <w:u w:val="single"/>
              </w:rPr>
              <w:tab/>
              <w:tab/>
              <w:tab/>
              <w:tab/>
              <w:tab/>
            </w:r>
          </w:p>
          <w:p>
            <w:pPr>
              <w:pStyle w:val="Normal"/>
              <w:suppressAutoHyphens w:val="true"/>
              <w:rPr/>
            </w:pPr>
            <w:r>
              <w:rPr/>
              <w:t>Norman A. Pedersen, Esq.</w:t>
              <w:br/>
            </w:r>
            <w:r>
              <w:rPr>
                <w:b/>
              </w:rPr>
              <w:t>JONES, DAY, REAVIS &amp; POGUE</w:t>
            </w:r>
            <w:r>
              <w:rPr/>
              <w:br/>
              <w:t>555 West Fifth Street, Suite 4600</w:t>
              <w:br/>
              <w:t>Los Angeles, California 90013-1025</w:t>
              <w:br/>
              <w:t>Telephone: (213) 489-3939</w:t>
              <w:br/>
              <w:t>Facsimile:  (213) 243-2539</w:t>
            </w:r>
          </w:p>
          <w:p>
            <w:pPr>
              <w:pStyle w:val="Normal"/>
              <w:suppressAutoHyphens w:val="true"/>
              <w:rPr/>
            </w:pPr>
            <w:r>
              <w:rPr/>
              <w:t xml:space="preserve">e-mail:  </w:t>
            </w:r>
            <w:hyperlink r:id="rId5">
              <w:r>
                <w:rPr>
                  <w:rStyle w:val="Hyperlink"/>
                </w:rPr>
                <w:t>napedersen@jonesday.com</w:t>
              </w:r>
            </w:hyperlink>
          </w:p>
          <w:p>
            <w:pPr>
              <w:pStyle w:val="Normal"/>
              <w:suppressAutoHyphens w:val="true"/>
              <w:rPr/>
            </w:pPr>
            <w:r>
              <w:rPr/>
            </w:r>
          </w:p>
          <w:p>
            <w:pPr>
              <w:pStyle w:val="Normal"/>
              <w:suppressAutoHyphens w:val="true"/>
              <w:rPr/>
            </w:pPr>
            <w:r>
              <w:rPr/>
              <w:t xml:space="preserve">Attorneys for </w:t>
            </w:r>
          </w:p>
          <w:p>
            <w:pPr>
              <w:pStyle w:val="PleadingSignature"/>
              <w:rPr>
                <w:b/>
              </w:rPr>
            </w:pPr>
            <w:r>
              <w:rPr>
                <w:b/>
              </w:rPr>
              <w:t>Southern California Generation Coalition</w:t>
            </w:r>
          </w:p>
        </w:tc>
      </w:tr>
    </w:tbl>
    <w:p>
      <w:pPr>
        <w:sectPr>
          <w:footerReference w:type="default" r:id="rId6"/>
          <w:footerReference w:type="first" r:id="rId7"/>
          <w:type w:val="nextPage"/>
          <w:pgSz w:w="12240" w:h="15840"/>
          <w:pgMar w:left="1440" w:right="1440" w:gutter="0" w:header="0" w:top="1440" w:footer="720" w:bottom="1296"/>
          <w:pgNumType w:start="1" w:fmt="decimal"/>
          <w:formProt w:val="false"/>
          <w:titlePg/>
          <w:textDirection w:val="lrTb"/>
          <w:docGrid w:type="default" w:linePitch="360" w:charSpace="0"/>
        </w:sectPr>
      </w:pPr>
    </w:p>
    <w:p>
      <w:pPr>
        <w:pStyle w:val="Normal"/>
        <w:rPr>
          <w:u w:val="single"/>
        </w:rPr>
      </w:pPr>
      <w:r>
        <w:rPr>
          <w:u w:val="single"/>
        </w:rPr>
      </w:r>
    </w:p>
    <w:p>
      <w:pPr>
        <w:pStyle w:val="Heading"/>
        <w:rPr>
          <w:u w:val="single"/>
        </w:rPr>
      </w:pPr>
      <w:r>
        <w:rPr>
          <w:u w:val="single"/>
        </w:rPr>
        <w:t>certificate of service</w:t>
      </w:r>
    </w:p>
    <w:p>
      <w:pPr>
        <w:pStyle w:val="Normal"/>
        <w:rPr>
          <w:u w:val="single"/>
        </w:rPr>
      </w:pPr>
      <w:r>
        <w:rPr>
          <w:u w:val="single"/>
        </w:rPr>
      </w:r>
    </w:p>
    <w:p>
      <w:pPr>
        <w:pStyle w:val="BodyTextFirstIndent2"/>
        <w:rPr/>
      </w:pPr>
      <w:r>
        <w:rPr/>
        <w:t xml:space="preserve">I hereby certify that I have this day served a copy of the </w:t>
      </w:r>
      <w:r>
        <w:rPr>
          <w:b/>
        </w:rPr>
        <w:t>SOUTHERN CALIFORNIA GENERATION COALITION EMERGENCY PETITION FOR MODIFICATION OF DECISIONS 90-09-089 AND  97-11-070</w:t>
      </w:r>
      <w:r>
        <w:rPr/>
        <w:t xml:space="preserve"> upon all known parties of record by mailing by first-class mail, a copy thereof properly addressed to each party.</w:t>
      </w:r>
    </w:p>
    <w:p>
      <w:pPr>
        <w:pStyle w:val="BodyTextFirstIndent2"/>
        <w:spacing w:before="0" w:after="480"/>
        <w:rPr/>
      </w:pPr>
      <w:r>
        <w:rPr/>
        <w:t>Executed on February 14, 2001 at Los Angeles, California.</w:t>
      </w:r>
    </w:p>
    <w:p>
      <w:pPr>
        <w:pStyle w:val="Signature"/>
        <w:rPr/>
      </w:pPr>
      <w:r>
        <w:rPr/>
        <w:tab/>
      </w:r>
    </w:p>
    <w:p>
      <w:pPr>
        <w:pStyle w:val="Signature"/>
        <w:ind w:hanging="540" w:start="6480" w:end="0"/>
        <w:rPr/>
      </w:pPr>
      <w:r>
        <w:rPr/>
        <w:tab/>
        <w:t>Jaki Hawkins</w:t>
      </w:r>
    </w:p>
    <w:sectPr>
      <w:footerReference w:type="default" r:id="rId8"/>
      <w:footerReference w:type="first" r:id="rId9"/>
      <w:type w:val="nextPage"/>
      <w:pgSz w:w="12240" w:h="15840"/>
      <w:pgMar w:left="1440" w:right="1440" w:gutter="0" w:header="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Arial Unicode MS"/>
    <w:charset w:val="00" w:characterSet="windows-1252"/>
    <w:family w:val="roman"/>
    <w:pitch w:val="default"/>
  </w:font>
  <w:font w:name="EngravrsRoman BT">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sz w:val="16"/>
      </w:rPr>
    </w:pPr>
    <w:r>
      <w:rPr>
        <w:sz w:val="16"/>
      </w:rPr>
      <w:t>LA-1093685v1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LA-1094667v1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LA-1094667v1</w:t>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LA-1094667v1</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LA-1094667v1</w:t>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LA-1094667v1</w:t>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color w:val="auto"/>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720" w:hanging="720"/>
      </w:pPr>
      <w:rPr>
        <w:i w:val="false"/>
        <w:u w:val="none"/>
        <w:b/>
      </w:rPr>
    </w:lvl>
    <w:lvl w:ilvl="1">
      <w:start w:val="1"/>
      <w:numFmt w:val="upperLetter"/>
      <w:lvlText w:val="%2."/>
      <w:lvlJc w:val="start"/>
      <w:pPr>
        <w:tabs>
          <w:tab w:val="num" w:pos="720"/>
        </w:tabs>
        <w:ind w:start="1440" w:hanging="720"/>
      </w:pPr>
      <w:rPr>
        <w:i w:val="false"/>
        <w:u w:val="none"/>
        <w:b/>
      </w:rPr>
    </w:lvl>
    <w:lvl w:ilvl="2">
      <w:start w:val="1"/>
      <w:numFmt w:val="decimal"/>
      <w:lvlText w:val="%3."/>
      <w:lvlJc w:val="start"/>
      <w:pPr>
        <w:tabs>
          <w:tab w:val="num" w:pos="720"/>
        </w:tabs>
        <w:ind w:start="2160" w:hanging="720"/>
      </w:pPr>
      <w:rPr>
        <w:u w:val="none"/>
        <w:b w:val="false"/>
      </w:rPr>
    </w:lvl>
    <w:lvl w:ilvl="3">
      <w:start w:val="1"/>
      <w:numFmt w:val="lowerLetter"/>
      <w:lvlText w:val="%4."/>
      <w:lvlJc w:val="start"/>
      <w:pPr>
        <w:tabs>
          <w:tab w:val="num" w:pos="720"/>
        </w:tabs>
        <w:ind w:start="2880" w:hanging="720"/>
      </w:pPr>
      <w:rPr>
        <w:u w:val="none"/>
        <w:b w:val="false"/>
      </w:rPr>
    </w:lvl>
    <w:lvl w:ilvl="4">
      <w:start w:val="1"/>
      <w:numFmt w:val="decimal"/>
      <w:lvlText w:val="(%5)"/>
      <w:lvlJc w:val="start"/>
      <w:pPr>
        <w:tabs>
          <w:tab w:val="num" w:pos="720"/>
        </w:tabs>
        <w:ind w:start="3600" w:hanging="720"/>
      </w:pPr>
      <w:rPr>
        <w:u w:val="none"/>
        <w:b w:val="false"/>
      </w:rPr>
    </w:lvl>
    <w:lvl w:ilvl="5">
      <w:start w:val="1"/>
      <w:numFmt w:val="lowerLetter"/>
      <w:lvlText w:val="(%6)"/>
      <w:lvlJc w:val="start"/>
      <w:pPr>
        <w:tabs>
          <w:tab w:val="num" w:pos="720"/>
        </w:tabs>
        <w:ind w:start="4320" w:hanging="720"/>
      </w:pPr>
      <w:rPr>
        <w:u w:val="none"/>
        <w:b w:val="false"/>
      </w:rPr>
    </w:lvl>
    <w:lvl w:ilvl="6">
      <w:start w:val="1"/>
      <w:numFmt w:val="lowerRoman"/>
      <w:lvlText w:val="(%7)"/>
      <w:lvlJc w:val="start"/>
      <w:pPr>
        <w:tabs>
          <w:tab w:val="num" w:pos="720"/>
        </w:tabs>
        <w:ind w:start="5040" w:hanging="720"/>
      </w:pPr>
      <w:rPr>
        <w:u w:val="none"/>
        <w:b w:val="false"/>
      </w:rPr>
    </w:lvl>
    <w:lvl w:ilvl="7">
      <w:start w:val="1"/>
      <w:numFmt w:val="lowerLetter"/>
      <w:lvlText w:val="%8)"/>
      <w:lvlJc w:val="start"/>
      <w:pPr>
        <w:tabs>
          <w:tab w:val="num" w:pos="720"/>
        </w:tabs>
        <w:ind w:start="5760" w:hanging="720"/>
      </w:pPr>
      <w:rPr>
        <w:u w:val="none"/>
        <w:b w:val="false"/>
      </w:rPr>
    </w:lvl>
    <w:lvl w:ilvl="8">
      <w:start w:val="1"/>
      <w:numFmt w:val="lowerRoman"/>
      <w:lvlText w:val="%9)"/>
      <w:lvlJc w:val="start"/>
      <w:pPr>
        <w:tabs>
          <w:tab w:val="num" w:pos="720"/>
        </w:tabs>
        <w:ind w:start="6480" w:hanging="720"/>
      </w:pPr>
      <w:rPr>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bpfile" w:val="PleadingCAApp.mbp"/>
    <w:docVar w:name="DocStamp_1_DocID" w:val="G:\DOCSOPEN\LA\JP709840\NGNF01!.DOC"/>
    <w:docVar w:name="DocStamp_1_IncludeDate" w:val="False"/>
    <w:docVar w:name="DocStamp_1_IncludeDraftText" w:val="False"/>
    <w:docVar w:name="DocStamp_1_IncludeTime" w:val="False"/>
    <w:docVar w:name="DocStamp_1_InsertDateAsField" w:val="False"/>
    <w:docVar w:name="DocStamp_1_TypeID" w:val="2"/>
    <w:docVar w:name="HeadingStyles" w:val="||Heading|3|3|0|1|0|41||1|0|33||1|0|32||1|0|32||1|0|32||1|0|32||1|0|32||1|0|32||1|0|32||"/>
    <w:docVar w:name="MPDocID" w:val="::ODMA\PCDOCS\LA\1094667\1"/>
    <w:docVar w:name="Pleading_1_Author" w:val="1200424"/>
    <w:docVar w:name="Pleading_1_CourtTitle" w:val="IN THE&#10;COURT OF APPEAL OF THE STATE OF CALIFORNIA&#10;IN AND FOR THE&#10;_____________ APPELLATE DISTRICT, _____________"/>
    <w:docVar w:name="Pleading_1_Level0" w:val="5"/>
    <w:docVar w:name="Pleading_1_Level0String" w:val="California"/>
    <w:docVar w:name="Pleading_1_Level1" w:val="19"/>
    <w:docVar w:name="Pleading_1_Level1String" w:val="Court of Appeal"/>
    <w:docVar w:name="PleadingCaption_1_AppealFromCourtTitle" w:val="On Appeal From the Superior Court&#10;of California"/>
    <w:docVar w:name="PleadingCaption_1_DisplayName" w:val="California Court of Appeals - Petitioner - "/>
    <w:docVar w:name="PleadingCaption_1_ID" w:val="1"/>
    <w:docVar w:name="PleadingCaption_1_Party1Title" w:val="Petitioner"/>
    <w:docVar w:name="PleadingCaption_1_Party2Title" w:val="Respondent"/>
    <w:docVar w:name="PleadingCaption_1_Position" w:val="1"/>
    <w:docVar w:name="PleadingCaption_1_TypeID" w:val="28"/>
    <w:docVar w:name="PleadingCounsel_1_AttorneyNames" w:val="Norman A. Pedersen"/>
    <w:docVar w:name="PleadingCounsel_1_ClientPartyTitle" w:val="Respondent"/>
    <w:docVar w:name="PleadingCounsel_1_DisplayName" w:val="Norman A. Pedersen"/>
    <w:docVar w:name="PleadingCounsel_1_FirmAddress" w:val="North Point&#10;901 Lakeside Avenue&#10;Cleveland, OH  44114-1190"/>
    <w:docVar w:name="PleadingCounsel_1_FirmFax" w:val="(216) 579-0212"/>
    <w:docVar w:name="PleadingCounsel_1_FirmName" w:val="Jones, Day, Reavis &amp; Pogue"/>
    <w:docVar w:name="PleadingCounsel_1_FirmPhone" w:val="(216) 586-3939"/>
    <w:docVar w:name="PleadingCounsel_1_ID" w:val="1"/>
    <w:docVar w:name="PleadingCounsel_1_Position" w:val="1"/>
    <w:docVar w:name="PleadingCounsel_1_Signers" w:val="0|-1|Norman A. Pedersen|1200424|"/>
    <w:docVar w:name="PleadingCounsel_1_TypeID" w:val="3"/>
    <w:docVar w:name="PleadingSig_1_DateType" w:val="MMMM __, yyyy"/>
    <w:docVar w:name="PleadingSig_1_FirmAddress" w:val="North Point&#10;901 Lakeside Avenue&#10;Cleveland, OH  44114-1190"/>
    <w:docVar w:name="PleadingSig_1_FirmCity" w:val="Cleveland"/>
    <w:docVar w:name="PleadingSig_1_FirmFax" w:val="(216) 579-0212"/>
    <w:docVar w:name="PleadingSig_1_FirmName" w:val="JONES, DAY, REAVIS &amp; POGUE"/>
    <w:docVar w:name="PleadingSig_1_FirmPhone" w:val="(216) 586-3939"/>
    <w:docVar w:name="PleadingSig_1_FirmState" w:val="Ohio"/>
    <w:docVar w:name="PleadingSig_1_ID" w:val="1"/>
    <w:docVar w:name="PleadingSig_1_PartyTitle" w:val="Respondent"/>
    <w:docVar w:name="PleadingSig_1_Position" w:val="2"/>
    <w:docVar w:name="PleadingSig_1_Signer" w:val="Norman A. Pedersen"/>
    <w:docVar w:name="PleadingSig_1_Signer2" w:val="Norman A. Pedersen"/>
    <w:docVar w:name="PleadingSig_1_SignerEMail" w:val="napedersen@jonesday.com"/>
    <w:docVar w:name="PleadingSig_1_Signers" w:val="0|-1|Norman A. Pedersen|1200424|"/>
    <w:docVar w:name="PleadingSig_1_TypeID" w:val="31"/>
    <w:docVar w:name="zzmpFixedCurScheme" w:val="ingStyles"/>
    <w:docVar w:name="zzmpFixedCurScheme_9.0" w:val="1HeadingStyles"/>
    <w:docVar w:name="zzmpLTFontsClean" w:val="True"/>
    <w:docVar w:name="zzmpnSession" w:val="6.368655E-0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rFonts w:ascii="Times New Roman Bold;Arial Unicode MS" w:hAnsi="Times New Roman Bold;Arial Unicode MS" w:cs="Times New Roman Bold;Arial Unicode MS"/>
      <w:b/>
      <w:caps/>
      <w:kern w:val="2"/>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Times New Roman Bold;Arial Unicode MS" w:hAnsi="Times New Roman Bold;Arial Unicode MS" w:cs="Times New Roman Bold;Arial Unicode MS"/>
      <w:b/>
      <w:i w:val="false"/>
      <w:caps w:val="false"/>
      <w:smallCaps w:val="false"/>
      <w:color w:val="auto"/>
      <w:sz w:val="24"/>
      <w:u w:val="none"/>
    </w:rPr>
  </w:style>
  <w:style w:type="character" w:styleId="WW8Num12z1">
    <w:name w:val="WW8Num12z1"/>
    <w:qFormat/>
    <w:rPr>
      <w:rFonts w:ascii="Times New Roman" w:hAnsi="Times New Roman" w:cs="Times New Roman"/>
      <w:b w:val="false"/>
      <w:caps w:val="false"/>
      <w:smallCaps w:val="false"/>
      <w:color w:val="auto"/>
      <w:sz w:val="24"/>
      <w:u w:val="none"/>
    </w:rPr>
  </w:style>
  <w:style w:type="character" w:styleId="WW8Num12z2">
    <w:name w:val="WW8Num12z2"/>
    <w:qFormat/>
    <w:rPr>
      <w:rFonts w:ascii="Times New Roman" w:hAnsi="Times New Roman" w:cs="Times New Roman"/>
      <w:b w:val="false"/>
      <w:i w:val="false"/>
      <w:caps w:val="false"/>
      <w:smallCaps w:val="false"/>
      <w:color w:val="auto"/>
      <w:sz w:val="24"/>
      <w:u w:val="none"/>
    </w:rPr>
  </w:style>
  <w:style w:type="character" w:styleId="WW8Num13z0">
    <w:name w:val="WW8Num13z0"/>
    <w:qFormat/>
    <w:rPr>
      <w:rFonts w:ascii="Times New Roman Bold;Arial Unicode MS" w:hAnsi="Times New Roman Bold;Arial Unicode MS" w:cs="Times New Roman Bold;Arial Unicode MS"/>
      <w:b w:val="false"/>
      <w:color w:val="auto"/>
      <w:sz w:val="28"/>
      <w:u w:val="none"/>
    </w:rPr>
  </w:style>
  <w:style w:type="character" w:styleId="WW8Num13z1">
    <w:name w:val="WW8Num13z1"/>
    <w:qFormat/>
    <w:rPr>
      <w:rFonts w:ascii="Times New Roman" w:hAnsi="Times New Roman" w:cs="Times New Roman"/>
      <w:b w:val="false"/>
      <w:color w:val="auto"/>
      <w:sz w:val="28"/>
      <w:u w:val="none"/>
    </w:rPr>
  </w:style>
  <w:style w:type="character" w:styleId="WW8Num13z2">
    <w:name w:val="WW8Num13z2"/>
    <w:qFormat/>
    <w:rPr>
      <w:rFonts w:ascii="Times New Roman" w:hAnsi="Times New Roman" w:cs="Times New Roman"/>
      <w:b w:val="false"/>
      <w:caps w:val="false"/>
      <w:smallCaps w:val="false"/>
      <w:color w:val="auto"/>
      <w:sz w:val="28"/>
      <w:u w:val="none"/>
    </w:rPr>
  </w:style>
  <w:style w:type="character" w:styleId="WW8Num13z5">
    <w:name w:val="WW8Num13z5"/>
    <w:qFormat/>
    <w:rPr>
      <w:rFonts w:ascii="Times New Roman" w:hAnsi="Times New Roman" w:cs="Times New Roman"/>
      <w:b w:val="false"/>
      <w:i w:val="false"/>
      <w:caps w:val="false"/>
      <w:smallCaps w:val="false"/>
      <w:color w:val="auto"/>
      <w:sz w:val="28"/>
      <w:u w:val="none"/>
    </w:rPr>
  </w:style>
  <w:style w:type="character" w:styleId="WW8Num14z0">
    <w:name w:val="WW8Num14z0"/>
    <w:qFormat/>
    <w:rPr>
      <w:rFonts w:ascii="Times New Roman" w:hAnsi="Times New Roman" w:cs="Times New Roman"/>
      <w:b/>
      <w:i w:val="false"/>
      <w:caps w:val="false"/>
      <w:smallCaps w:val="false"/>
      <w:color w:val="auto"/>
      <w:sz w:val="24"/>
      <w:u w:val="none"/>
    </w:rPr>
  </w:style>
  <w:style w:type="character" w:styleId="WW8Num14z8">
    <w:name w:val="WW8Num14z8"/>
    <w:qFormat/>
    <w:rPr>
      <w:rFonts w:ascii="Times New Roman" w:hAnsi="Times New Roman" w:cs="Times New Roman"/>
      <w:b w:val="false"/>
      <w:i w:val="false"/>
      <w:caps w:val="false"/>
      <w:smallCaps w:val="false"/>
      <w:color w:val="auto"/>
      <w:sz w:val="24"/>
      <w:u w:val="none"/>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sz w:val="24"/>
    </w:rPr>
  </w:style>
  <w:style w:type="character" w:styleId="EndnoteCharacters">
    <w:name w:val="Endnote Characters"/>
    <w:basedOn w:val="DefaultParagraphFont"/>
    <w:qFormat/>
    <w:rPr>
      <w:rFonts w:ascii="Times New Roman" w:hAnsi="Times New Roman" w:cs="Times New Roman"/>
      <w:sz w:val="24"/>
      <w:vertAlign w:val="superscript"/>
    </w:rPr>
  </w:style>
  <w:style w:type="character" w:styleId="FollowedHyperlink">
    <w:name w:val="FollowedHyperlink"/>
    <w:basedOn w:val="DefaultParagraphFont"/>
    <w:rPr>
      <w:rFonts w:ascii="Times New Roman" w:hAnsi="Times New Roman" w:cs="Times New Roman"/>
      <w:color w:val="800080"/>
      <w:sz w:val="24"/>
      <w:u w:val="single"/>
    </w:rPr>
  </w:style>
  <w:style w:type="character" w:styleId="FootnoteCharacters">
    <w:name w:val="Footnote Characters"/>
    <w:basedOn w:val="DefaultParagraphFont"/>
    <w:qFormat/>
    <w:rPr>
      <w:rFonts w:ascii="Times New Roman" w:hAnsi="Times New Roman" w:cs="Times New Roman"/>
      <w:sz w:val="24"/>
      <w:vertAlign w:val="superscript"/>
    </w:rPr>
  </w:style>
  <w:style w:type="character" w:styleId="Hyperlink">
    <w:name w:val="Hyperlink"/>
    <w:basedOn w:val="DefaultParagraphFont"/>
    <w:rPr>
      <w:rFonts w:ascii="Times New Roman" w:hAnsi="Times New Roman" w:cs="Times New Roman"/>
      <w:color w:val="0000FF"/>
      <w:sz w:val="24"/>
      <w:u w:val="single"/>
    </w:rPr>
  </w:style>
  <w:style w:type="character" w:styleId="LineNumber">
    <w:name w:val="line number"/>
    <w:basedOn w:val="DefaultParagraphFont"/>
    <w:rPr>
      <w:rFonts w:ascii="Times New Roman" w:hAnsi="Times New Roman" w:cs="Times New Roman"/>
      <w:sz w:val="24"/>
    </w:rPr>
  </w:style>
  <w:style w:type="character" w:styleId="PageNumber">
    <w:name w:val="page number"/>
    <w:basedOn w:val="DefaultParagraphFont"/>
    <w:rPr>
      <w:sz w:val="24"/>
    </w:rPr>
  </w:style>
  <w:style w:type="character" w:styleId="Strong">
    <w:name w:val="Strong"/>
    <w:basedOn w:val="DefaultParagraphFont"/>
    <w:qFormat/>
    <w:rPr>
      <w:rFonts w:ascii="Times New Roman" w:hAnsi="Times New Roman" w:cs="Times New Roman"/>
      <w:b/>
      <w:sz w:val="24"/>
    </w:rPr>
  </w:style>
  <w:style w:type="character" w:styleId="ParagraphNumber">
    <w:name w:val="ParagraphNumber"/>
    <w:basedOn w:val="DefaultParagraphFont"/>
    <w:qFormat/>
    <w:rPr/>
  </w:style>
  <w:style w:type="paragraph" w:styleId="Heading">
    <w:name w:val="Heading"/>
    <w:basedOn w:val="Normal"/>
    <w:next w:val="BodyText"/>
    <w:qFormat/>
    <w:pPr>
      <w:keepNext w:val="true"/>
      <w:spacing w:before="0" w:after="240"/>
      <w:jc w:val="center"/>
    </w:pPr>
    <w:rPr>
      <w:rFonts w:ascii="Times New Roman Bold;Arial Unicode MS" w:hAnsi="Times New Roman Bold;Arial Unicode MS" w:cs="Times New Roman Bold;Arial Unicode MS"/>
      <w:b/>
      <w:caps/>
      <w:sz w:val="24"/>
    </w:rPr>
  </w:style>
  <w:style w:type="paragraph" w:styleId="BodyText">
    <w:name w:val="Body Text"/>
    <w:basedOn w:val="Normal"/>
    <w:pPr>
      <w:ind w:firstLine="720" w:start="0" w:end="0"/>
    </w:pPr>
    <w:rPr/>
  </w:style>
  <w:style w:type="paragraph" w:styleId="List">
    <w:name w:val="List"/>
    <w:basedOn w:val="Normal"/>
    <w:pPr>
      <w:ind w:hanging="360" w:start="360" w:end="0"/>
    </w:pPr>
    <w:rPr/>
  </w:style>
  <w:style w:type="paragraph" w:styleId="Caption">
    <w:name w:val="caption"/>
    <w:basedOn w:val="Normal"/>
    <w:next w:val="BodyText"/>
    <w:qFormat/>
    <w:pPr>
      <w:spacing w:before="0" w:after="240"/>
      <w:jc w:val="center"/>
    </w:pPr>
    <w:rPr>
      <w:rFonts w:ascii="Times New Roman Bold;Arial Unicode MS" w:hAnsi="Times New Roman Bold;Arial Unicode MS" w:cs="Times New Roman Bold;Arial Unicode MS"/>
      <w:b/>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4"/>
      <w:szCs w:val="20"/>
      <w:lang w:val="en-US" w:eastAsia="zh-CN" w:bidi="hi-IN"/>
    </w:rPr>
  </w:style>
  <w:style w:type="paragraph" w:styleId="BlockText">
    <w:name w:val="Block Text"/>
    <w:basedOn w:val="Normal"/>
    <w:qFormat/>
    <w:pPr>
      <w:spacing w:lineRule="auto" w:line="480" w:before="0" w:after="120"/>
    </w:pPr>
    <w:rPr/>
  </w:style>
  <w:style w:type="paragraph" w:styleId="BodyText2">
    <w:name w:val="Body Text 2"/>
    <w:basedOn w:val="Normal"/>
    <w:qFormat/>
    <w:pPr>
      <w:spacing w:before="0" w:after="240"/>
      <w:ind w:hanging="0" w:start="720" w:end="0"/>
    </w:pPr>
    <w:rPr/>
  </w:style>
  <w:style w:type="paragraph" w:styleId="BodyText3">
    <w:name w:val="Body Text 3"/>
    <w:basedOn w:val="Normal"/>
    <w:qFormat/>
    <w:pPr>
      <w:spacing w:before="0" w:after="240"/>
      <w:ind w:hanging="720" w:start="1440" w:end="0"/>
    </w:pPr>
    <w:rPr/>
  </w:style>
  <w:style w:type="paragraph" w:styleId="BodyTextFirstIndent">
    <w:name w:val="Body Text First Indent"/>
    <w:basedOn w:val="Normal"/>
    <w:qFormat/>
    <w:pPr>
      <w:spacing w:before="0" w:after="240"/>
      <w:ind w:firstLine="144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lineRule="auto" w:line="480" w:before="0" w:after="120"/>
      <w:ind w:firstLine="720" w:start="0" w:end="0"/>
    </w:pPr>
    <w:rPr/>
  </w:style>
  <w:style w:type="paragraph" w:styleId="BodyTextIndent2">
    <w:name w:val="Body Text Indent 2"/>
    <w:basedOn w:val="Normal"/>
    <w:qFormat/>
    <w:pPr>
      <w:spacing w:lineRule="auto" w:line="480"/>
      <w:ind w:hanging="0" w:start="720" w:end="0"/>
    </w:pPr>
    <w:rPr/>
  </w:style>
  <w:style w:type="paragraph" w:styleId="BodyTextIndent3">
    <w:name w:val="Body Text Indent 3"/>
    <w:basedOn w:val="Normal"/>
    <w:qFormat/>
    <w:pPr>
      <w:spacing w:lineRule="auto" w:line="360"/>
      <w:ind w:hanging="0" w:start="720" w:end="0"/>
    </w:pPr>
    <w:rPr/>
  </w:style>
  <w:style w:type="paragraph" w:styleId="Closing">
    <w:name w:val="Closing"/>
    <w:basedOn w:val="Normal"/>
    <w:next w:val="Signature"/>
    <w:qFormat/>
    <w:pPr>
      <w:keepNext w:val="true"/>
      <w:spacing w:before="0" w:after="960"/>
      <w:ind w:hanging="0" w:start="4680" w:end="0"/>
    </w:pPr>
    <w:rPr/>
  </w:style>
  <w:style w:type="paragraph" w:styleId="Signature">
    <w:name w:val="Signature"/>
    <w:basedOn w:val="Normal"/>
    <w:pPr>
      <w:tabs>
        <w:tab w:val="clear" w:pos="720"/>
        <w:tab w:val="right" w:pos="9360" w:leader="underscore"/>
      </w:tabs>
      <w:ind w:hanging="0" w:start="4680" w:end="0"/>
    </w:pPr>
    <w:rPr/>
  </w:style>
  <w:style w:type="paragraph" w:styleId="EndnoteText">
    <w:name w:val="endnote text"/>
    <w:basedOn w:val="Normal"/>
    <w:pPr>
      <w:spacing w:before="0" w:after="120"/>
      <w:ind w:firstLine="720" w:start="0" w:end="0"/>
    </w:pPr>
    <w:rPr>
      <w:sz w:val="20"/>
    </w:rPr>
  </w:style>
  <w:style w:type="paragraph" w:styleId="EnvelopeAddress">
    <w:name w:val="envelope address"/>
    <w:basedOn w:val="Normal"/>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z w:val="20"/>
    </w:rPr>
  </w:style>
  <w:style w:type="paragraph" w:styleId="Header">
    <w:name w:val="header"/>
    <w:basedOn w:val="Normal"/>
    <w:pPr>
      <w:tabs>
        <w:tab w:val="clear" w:pos="720"/>
        <w:tab w:val="center" w:pos="4680" w:leader="none"/>
        <w:tab w:val="right" w:pos="9360" w:leader="none"/>
      </w:tabs>
    </w:pPr>
    <w:rPr/>
  </w:style>
  <w:style w:type="paragraph" w:styleId="Index1">
    <w:name w:val="index 1"/>
    <w:basedOn w:val="Normal"/>
    <w:next w:val="BodyText"/>
    <w:pPr>
      <w:ind w:hanging="245" w:start="245" w:end="0"/>
    </w:pPr>
    <w:rPr/>
  </w:style>
  <w:style w:type="paragraph" w:styleId="IndexHeading">
    <w:name w:val="index heading"/>
    <w:basedOn w:val="Normal"/>
    <w:next w:val="Index1"/>
    <w:pPr>
      <w:spacing w:before="0" w:after="240"/>
      <w:jc w:val="center"/>
      <w:outlineLvl w:val="0"/>
    </w:pPr>
    <w:rPr>
      <w:b/>
    </w:rPr>
  </w:style>
  <w:style w:type="paragraph" w:styleId="ListBullet51">
    <w:name w:val="List Bullet 51"/>
    <w:basedOn w:val="Normal"/>
    <w:qFormat/>
    <w:pPr>
      <w:numPr>
        <w:ilvl w:val="0"/>
        <w:numId w:val="6"/>
      </w:numPr>
      <w:tabs>
        <w:tab w:val="clear" w:pos="720"/>
      </w:tabs>
      <w:ind w:hanging="720" w:start="3600" w:end="0"/>
    </w:pPr>
    <w:rPr/>
  </w:style>
  <w:style w:type="paragraph" w:styleId="ListBullet41">
    <w:name w:val="List Bullet 41"/>
    <w:basedOn w:val="Normal"/>
    <w:qFormat/>
    <w:pPr>
      <w:numPr>
        <w:ilvl w:val="0"/>
        <w:numId w:val="7"/>
      </w:numPr>
      <w:tabs>
        <w:tab w:val="clear" w:pos="720"/>
      </w:tabs>
      <w:ind w:hanging="720" w:start="2880" w:end="0"/>
    </w:pPr>
    <w:rPr/>
  </w:style>
  <w:style w:type="paragraph" w:styleId="PlainText">
    <w:name w:val="Plain Text"/>
    <w:basedOn w:val="Normal"/>
    <w:qFormat/>
    <w:pPr/>
    <w:rPr>
      <w:sz w:val="20"/>
    </w:rPr>
  </w:style>
  <w:style w:type="paragraph" w:styleId="Subtitle">
    <w:name w:val="Subtitle"/>
    <w:basedOn w:val="Normal"/>
    <w:next w:val="BodyText"/>
    <w:qFormat/>
    <w:pPr>
      <w:keepNext w:val="true"/>
      <w:spacing w:before="0" w:after="240"/>
      <w:jc w:val="center"/>
    </w:pPr>
    <w:rPr>
      <w:b/>
    </w:rPr>
  </w:style>
  <w:style w:type="paragraph" w:styleId="TableofAuthorities">
    <w:name w:val="Table of Authorities"/>
    <w:basedOn w:val="Normal"/>
    <w:next w:val="Normal"/>
    <w:qFormat/>
    <w:pPr>
      <w:spacing w:before="0" w:after="120"/>
      <w:ind w:hanging="245" w:start="245" w:end="0"/>
    </w:pPr>
    <w:rPr/>
  </w:style>
  <w:style w:type="paragraph" w:styleId="BodyTextFirstIndent3">
    <w:name w:val="Body Text First Indent 3"/>
    <w:basedOn w:val="Normal"/>
    <w:qFormat/>
    <w:pPr>
      <w:spacing w:lineRule="auto" w:line="360"/>
      <w:ind w:firstLine="1440" w:start="0" w:end="0"/>
    </w:pPr>
    <w:rPr/>
  </w:style>
  <w:style w:type="paragraph" w:styleId="ListNumber5">
    <w:name w:val="List Number 5"/>
    <w:basedOn w:val="Normal"/>
    <w:qFormat/>
    <w:pPr>
      <w:numPr>
        <w:ilvl w:val="0"/>
        <w:numId w:val="2"/>
      </w:numPr>
      <w:tabs>
        <w:tab w:val="clear" w:pos="720"/>
      </w:tabs>
    </w:pPr>
    <w:rPr/>
  </w:style>
  <w:style w:type="paragraph" w:styleId="Quote">
    <w:name w:val="Quote"/>
    <w:basedOn w:val="Normal"/>
    <w:next w:val="BodyText"/>
    <w:qFormat/>
    <w:pPr>
      <w:spacing w:before="0" w:after="240"/>
      <w:ind w:hanging="0" w:start="720" w:end="720"/>
    </w:pPr>
    <w:rPr/>
  </w:style>
  <w:style w:type="paragraph" w:styleId="Bold">
    <w:name w:val="Bold"/>
    <w:basedOn w:val="Normal"/>
    <w:next w:val="BodyText"/>
    <w:qFormat/>
    <w:pPr>
      <w:keepNext w:val="true"/>
      <w:spacing w:before="0" w:after="240"/>
    </w:pPr>
    <w:rPr>
      <w:b/>
    </w:rPr>
  </w:style>
  <w:style w:type="paragraph" w:styleId="BoldCapCenter">
    <w:name w:val="BoldCapCenter"/>
    <w:basedOn w:val="Normal"/>
    <w:next w:val="BodyText"/>
    <w:qFormat/>
    <w:pPr>
      <w:keepNext w:val="true"/>
      <w:spacing w:before="0" w:after="240"/>
      <w:jc w:val="center"/>
    </w:pPr>
    <w:rPr>
      <w:b/>
      <w:caps/>
    </w:rPr>
  </w:style>
  <w:style w:type="paragraph" w:styleId="Underline">
    <w:name w:val="Underline"/>
    <w:basedOn w:val="Normal"/>
    <w:next w:val="BodyText"/>
    <w:qFormat/>
    <w:pPr>
      <w:keepNext w:val="true"/>
      <w:spacing w:before="0" w:after="240"/>
    </w:pPr>
    <w:rPr>
      <w:u w:val="single"/>
    </w:rPr>
  </w:style>
  <w:style w:type="paragraph" w:styleId="Italic">
    <w:name w:val="Italic"/>
    <w:basedOn w:val="Normal"/>
    <w:next w:val="BodyText"/>
    <w:qFormat/>
    <w:pPr>
      <w:keepNext w:val="true"/>
      <w:spacing w:before="0" w:after="240"/>
    </w:pPr>
    <w:rPr>
      <w:i/>
    </w:rPr>
  </w:style>
  <w:style w:type="paragraph" w:styleId="ListContinue5">
    <w:name w:val="List Continue 5"/>
    <w:basedOn w:val="Normal"/>
    <w:qFormat/>
    <w:pPr>
      <w:spacing w:before="0" w:after="120"/>
      <w:ind w:hanging="0" w:start="1800" w:end="0"/>
    </w:pPr>
    <w:rPr/>
  </w:style>
  <w:style w:type="paragraph" w:styleId="CommentText">
    <w:name w:val="Comment Text"/>
    <w:basedOn w:val="Normal"/>
    <w:qFormat/>
    <w:pPr/>
    <w:rPr>
      <w:sz w:val="20"/>
    </w:rPr>
  </w:style>
  <w:style w:type="paragraph" w:styleId="Date">
    <w:name w:val="Date"/>
    <w:basedOn w:val="Normal"/>
    <w:next w:val="Normal"/>
    <w:qFormat/>
    <w:pPr>
      <w:spacing w:before="0" w:after="240"/>
    </w:pPr>
    <w:rPr/>
  </w:style>
  <w:style w:type="paragraph" w:styleId="DocumentMap">
    <w:name w:val="Document Map"/>
    <w:basedOn w:val="Normal"/>
    <w:qFormat/>
    <w:pPr>
      <w:shd w:fill="000080" w:val="clear"/>
    </w:pPr>
    <w:rPr>
      <w:sz w:val="20"/>
    </w:rPr>
  </w:style>
  <w:style w:type="paragraph" w:styleId="Index2">
    <w:name w:val="index 2"/>
    <w:basedOn w:val="Normal"/>
    <w:next w:val="BodyText"/>
    <w:pPr>
      <w:ind w:hanging="202" w:start="404" w:end="0"/>
    </w:pPr>
    <w:rPr/>
  </w:style>
  <w:style w:type="paragraph" w:styleId="Index3">
    <w:name w:val="index 3"/>
    <w:basedOn w:val="Normal"/>
    <w:next w:val="BodyText"/>
    <w:pPr>
      <w:ind w:hanging="202" w:start="605" w:end="0"/>
    </w:pPr>
    <w:rPr/>
  </w:style>
  <w:style w:type="paragraph" w:styleId="Index4">
    <w:name w:val="Index 4"/>
    <w:basedOn w:val="Normal"/>
    <w:next w:val="BodyText"/>
    <w:qFormat/>
    <w:pPr>
      <w:ind w:hanging="202" w:start="807" w:end="0"/>
    </w:pPr>
    <w:rPr/>
  </w:style>
  <w:style w:type="paragraph" w:styleId="Index5">
    <w:name w:val="Index 5"/>
    <w:basedOn w:val="Normal"/>
    <w:next w:val="BodyText"/>
    <w:qFormat/>
    <w:pPr>
      <w:ind w:hanging="202" w:start="1008" w:end="0"/>
    </w:pPr>
    <w:rPr/>
  </w:style>
  <w:style w:type="paragraph" w:styleId="Index6">
    <w:name w:val="Index 6"/>
    <w:basedOn w:val="Normal"/>
    <w:next w:val="BodyText"/>
    <w:qFormat/>
    <w:pPr>
      <w:ind w:hanging="202" w:start="1196" w:end="0"/>
    </w:pPr>
    <w:rPr/>
  </w:style>
  <w:style w:type="paragraph" w:styleId="Index7">
    <w:name w:val="Index 7"/>
    <w:basedOn w:val="Normal"/>
    <w:next w:val="BodyText"/>
    <w:qFormat/>
    <w:pPr>
      <w:ind w:hanging="202" w:start="1397" w:end="0"/>
    </w:pPr>
    <w:rPr/>
  </w:style>
  <w:style w:type="paragraph" w:styleId="Index8">
    <w:name w:val="Index 8"/>
    <w:basedOn w:val="Normal"/>
    <w:next w:val="BodyText"/>
    <w:qFormat/>
    <w:pPr>
      <w:ind w:hanging="202" w:start="1599" w:end="0"/>
    </w:pPr>
    <w:rPr/>
  </w:style>
  <w:style w:type="paragraph" w:styleId="Index9">
    <w:name w:val="Index 9"/>
    <w:basedOn w:val="Normal"/>
    <w:next w:val="BodyText"/>
    <w:qFormat/>
    <w:pPr>
      <w:ind w:hanging="202" w:start="180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31">
    <w:name w:val="List Bullet 31"/>
    <w:basedOn w:val="Normal"/>
    <w:qFormat/>
    <w:pPr>
      <w:numPr>
        <w:ilvl w:val="0"/>
        <w:numId w:val="8"/>
      </w:numPr>
      <w:tabs>
        <w:tab w:val="clear" w:pos="720"/>
      </w:tabs>
      <w:ind w:hanging="720" w:start="2160" w:end="0"/>
    </w:pPr>
    <w:rPr/>
  </w:style>
  <w:style w:type="paragraph" w:styleId="ListBullet21">
    <w:name w:val="List Bullet 21"/>
    <w:basedOn w:val="Normal"/>
    <w:qFormat/>
    <w:pPr>
      <w:numPr>
        <w:ilvl w:val="0"/>
        <w:numId w:val="9"/>
      </w:numPr>
      <w:tabs>
        <w:tab w:val="clear" w:pos="720"/>
      </w:tabs>
      <w:ind w:hanging="720" w:start="1440" w:end="0"/>
    </w:pPr>
    <w:rPr/>
  </w:style>
  <w:style w:type="paragraph" w:styleId="ListBullet">
    <w:name w:val="List Bullet"/>
    <w:basedOn w:val="Normal"/>
    <w:qFormat/>
    <w:pPr>
      <w:numPr>
        <w:ilvl w:val="0"/>
        <w:numId w:val="11"/>
      </w:numPr>
      <w:tabs>
        <w:tab w:val="clear" w:pos="720"/>
      </w:tabs>
      <w:ind w:hanging="720" w:start="72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Number4">
    <w:name w:val="List Number 4"/>
    <w:basedOn w:val="Normal"/>
    <w:qFormat/>
    <w:pPr>
      <w:numPr>
        <w:ilvl w:val="0"/>
        <w:numId w:val="3"/>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TableofFigures">
    <w:name w:val="Table of Figures"/>
    <w:basedOn w:val="Normal"/>
    <w:next w:val="Normal"/>
    <w:qFormat/>
    <w:pPr>
      <w:spacing w:before="0" w:after="120"/>
      <w:ind w:hanging="475" w:start="475" w:end="0"/>
    </w:pPr>
    <w:rPr/>
  </w:style>
  <w:style w:type="paragraph" w:styleId="TOAHeading">
    <w:name w:val="TOA Heading"/>
    <w:basedOn w:val="Normal"/>
    <w:next w:val="Normal"/>
    <w:qFormat/>
    <w:pPr>
      <w:spacing w:before="0" w:after="240"/>
      <w:jc w:val="center"/>
      <w:outlineLvl w:val="0"/>
    </w:pPr>
    <w:rPr>
      <w:b/>
    </w:rPr>
  </w:style>
  <w:style w:type="paragraph" w:styleId="TOC2">
    <w:name w:val="toc 2"/>
    <w:basedOn w:val="Normal"/>
    <w:next w:val="Normal"/>
    <w:pPr>
      <w:ind w:hanging="0" w:start="240" w:end="0"/>
    </w:pPr>
    <w:rPr/>
  </w:style>
  <w:style w:type="paragraph" w:styleId="NoteHeading">
    <w:name w:val="Note Heading"/>
    <w:basedOn w:val="Normal"/>
    <w:next w:val="BodyText"/>
    <w:qFormat/>
    <w:pPr/>
    <w:rPr/>
  </w:style>
  <w:style w:type="paragraph" w:styleId="Salutation">
    <w:name w:val="Salutation"/>
    <w:basedOn w:val="Normal"/>
    <w:next w:val="BodyText"/>
    <w:qFormat/>
    <w:pPr>
      <w:spacing w:before="0" w:after="240"/>
    </w:pPr>
    <w:rPr/>
  </w:style>
  <w:style w:type="paragraph" w:styleId="TOC1">
    <w:name w:val="toc 1"/>
    <w:basedOn w:val="Normal"/>
    <w:next w:val="Normal"/>
    <w:pPr/>
    <w:rPr/>
  </w:style>
  <w:style w:type="paragraph" w:styleId="TOC9">
    <w:name w:val="toc 9"/>
    <w:basedOn w:val="Normal"/>
    <w:next w:val="Normal"/>
    <w:pPr>
      <w:ind w:hanging="0" w:start="1920" w:end="0"/>
    </w:pPr>
    <w:rPr/>
  </w:style>
  <w:style w:type="paragraph" w:styleId="TOC8">
    <w:name w:val="toc 8"/>
    <w:basedOn w:val="Normal"/>
    <w:next w:val="Normal"/>
    <w:pPr>
      <w:ind w:hanging="0" w:start="1680" w:end="0"/>
    </w:pPr>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5">
    <w:name w:val="toc 5"/>
    <w:basedOn w:val="Normal"/>
    <w:next w:val="Normal"/>
    <w:pPr>
      <w:ind w:hanging="0" w:start="96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ListNumber">
    <w:name w:val="List Number"/>
    <w:basedOn w:val="Normal"/>
    <w:qFormat/>
    <w:pPr>
      <w:numPr>
        <w:ilvl w:val="0"/>
        <w:numId w:val="10"/>
      </w:numPr>
      <w:tabs>
        <w:tab w:val="clear" w:pos="720"/>
      </w:tabs>
    </w:pPr>
    <w:rPr/>
  </w:style>
  <w:style w:type="paragraph" w:styleId="LHFirmName">
    <w:name w:val="LH Firm Name"/>
    <w:basedOn w:val="Normal"/>
    <w:qFormat/>
    <w:pPr>
      <w:spacing w:before="0" w:after="120"/>
      <w:ind w:hanging="0" w:start="-720" w:end="0"/>
    </w:pPr>
    <w:rPr>
      <w:rFonts w:ascii="EngravrsRoman BT;Book Antiqua" w:hAnsi="EngravrsRoman BT;Book Antiqua" w:cs="EngravrsRoman BT;Book Antiqua"/>
      <w:b/>
      <w:spacing w:val="10"/>
      <w:sz w:val="15"/>
    </w:rPr>
  </w:style>
  <w:style w:type="paragraph" w:styleId="BodyTextContinued">
    <w:name w:val="Body Text Continued"/>
    <w:basedOn w:val="BodyText"/>
    <w:next w:val="BodyText"/>
    <w:qFormat/>
    <w:pPr>
      <w:ind w:hanging="0" w:start="0" w:end="0"/>
    </w:pPr>
    <w:rPr/>
  </w:style>
  <w:style w:type="paragraph" w:styleId="LetterClosing">
    <w:name w:val="LetterClosing"/>
    <w:basedOn w:val="Normal"/>
    <w:next w:val="Normal"/>
    <w:qFormat/>
    <w:pPr/>
    <w:rPr/>
  </w:style>
  <w:style w:type="paragraph" w:styleId="PleadingSignature">
    <w:name w:val="Pleading Signature"/>
    <w:basedOn w:val="Normal"/>
    <w:qFormat/>
    <w:pPr>
      <w:keepNext w:val="true"/>
      <w:keepLines/>
      <w:widowControl w:val="false"/>
    </w:pPr>
    <w:rPr/>
  </w:style>
  <w:style w:type="paragraph" w:styleId="LetterDate">
    <w:name w:val="Letter Date"/>
    <w:basedOn w:val="Normal"/>
    <w:next w:val="BodyText"/>
    <w:qFormat/>
    <w:pPr/>
    <w:rPr/>
  </w:style>
  <w:style w:type="paragraph" w:styleId="DeliveryPhrase">
    <w:name w:val="Delivery Phrase"/>
    <w:basedOn w:val="Normal"/>
    <w:next w:val="Normal"/>
    <w:qFormat/>
    <w:pPr>
      <w:spacing w:before="240" w:after="0"/>
    </w:pPr>
    <w:rPr>
      <w:b/>
      <w:caps/>
    </w:rPr>
  </w:style>
  <w:style w:type="paragraph" w:styleId="SDP">
    <w:name w:val="SDP"/>
    <w:basedOn w:val="Normal"/>
    <w:next w:val="Normal"/>
    <w:qFormat/>
    <w:pPr>
      <w:spacing w:before="240" w:after="0"/>
    </w:pPr>
    <w:rPr>
      <w:b/>
      <w:caps/>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Court">
    <w:name w:val="Court"/>
    <w:basedOn w:val="Normal"/>
    <w:qFormat/>
    <w:pPr>
      <w:spacing w:lineRule="auto" w:line="480" w:before="360" w:after="240"/>
      <w:jc w:val="center"/>
    </w:pPr>
    <w:rPr>
      <w:rFonts w:ascii="Times New Roman Bold;Arial Unicode MS" w:hAnsi="Times New Roman Bold;Arial Unicode MS" w:cs="Times New Roman Bold;Arial Unicode MS"/>
      <w:b/>
    </w:rPr>
  </w:style>
  <w:style w:type="paragraph" w:styleId="CourtLower">
    <w:name w:val="Court Lower"/>
    <w:basedOn w:val="Court"/>
    <w:qFormat/>
    <w:pPr>
      <w:spacing w:lineRule="auto" w:line="240" w:before="0" w:after="0"/>
    </w:pPr>
    <w:rPr>
      <w:b w:val="false"/>
    </w:rPr>
  </w:style>
  <w:style w:type="paragraph" w:styleId="DocumentTitle">
    <w:name w:val="Document Title"/>
    <w:basedOn w:val="CourtLower"/>
    <w:qFormat/>
    <w:pPr>
      <w:spacing w:before="240" w:after="0"/>
    </w:pPr>
    <w:rPr>
      <w:b/>
      <w:caps/>
      <w:sz w:val="30"/>
    </w:rPr>
  </w:style>
  <w:style w:type="paragraph" w:styleId="FirmInformation">
    <w:name w:val="Firm Information"/>
    <w:basedOn w:val="Normal"/>
    <w:qFormat/>
    <w:pPr>
      <w:ind w:hanging="0" w:start="86" w:end="0"/>
    </w:pPr>
    <w:rPr/>
  </w:style>
  <w:style w:type="paragraph" w:styleId="CourtAppealNo">
    <w:name w:val="CourtAppealNo"/>
    <w:basedOn w:val="CourtLower"/>
    <w:qFormat/>
    <w:pPr>
      <w:jc w:val="start"/>
    </w:pPr>
    <w:rPr/>
  </w:style>
  <w:style w:type="paragraph" w:styleId="HeadingL1">
    <w:name w:val="Heading_L1"/>
    <w:basedOn w:val="Normal"/>
    <w:next w:val="BodyText"/>
    <w:qFormat/>
    <w:pPr>
      <w:keepNext w:val="true"/>
      <w:numPr>
        <w:ilvl w:val="0"/>
        <w:numId w:val="12"/>
      </w:numPr>
      <w:spacing w:before="120" w:after="360"/>
      <w:outlineLvl w:val="0"/>
    </w:pPr>
    <w:rPr>
      <w:kern w:val="2"/>
    </w:rPr>
  </w:style>
  <w:style w:type="paragraph" w:styleId="HeadingL2">
    <w:name w:val="Heading_L2"/>
    <w:basedOn w:val="Normal"/>
    <w:next w:val="BodyText"/>
    <w:qFormat/>
    <w:pPr>
      <w:numPr>
        <w:ilvl w:val="0"/>
        <w:numId w:val="12"/>
      </w:numPr>
      <w:spacing w:before="0" w:after="240"/>
      <w:outlineLvl w:val="1"/>
    </w:pPr>
    <w:rPr/>
  </w:style>
  <w:style w:type="paragraph" w:styleId="HeadingL3">
    <w:name w:val="Heading_L3"/>
    <w:basedOn w:val="Normal"/>
    <w:next w:val="BodyText"/>
    <w:qFormat/>
    <w:pPr>
      <w:numPr>
        <w:ilvl w:val="0"/>
        <w:numId w:val="12"/>
      </w:numPr>
      <w:spacing w:before="0" w:after="240"/>
      <w:outlineLvl w:val="2"/>
    </w:pPr>
    <w:rPr/>
  </w:style>
  <w:style w:type="paragraph" w:styleId="HeadingL4">
    <w:name w:val="Heading_L4"/>
    <w:basedOn w:val="Normal"/>
    <w:next w:val="BodyText"/>
    <w:qFormat/>
    <w:pPr>
      <w:numPr>
        <w:ilvl w:val="0"/>
        <w:numId w:val="12"/>
      </w:numPr>
      <w:spacing w:before="0" w:after="240"/>
      <w:outlineLvl w:val="3"/>
    </w:pPr>
    <w:rPr/>
  </w:style>
  <w:style w:type="paragraph" w:styleId="HeadingL5">
    <w:name w:val="Heading_L5"/>
    <w:basedOn w:val="Normal"/>
    <w:next w:val="BodyText"/>
    <w:qFormat/>
    <w:pPr>
      <w:numPr>
        <w:ilvl w:val="0"/>
        <w:numId w:val="12"/>
      </w:numPr>
      <w:spacing w:before="0" w:after="240"/>
      <w:outlineLvl w:val="4"/>
    </w:pPr>
    <w:rPr/>
  </w:style>
  <w:style w:type="paragraph" w:styleId="HeadingL6">
    <w:name w:val="Heading_L6"/>
    <w:basedOn w:val="Normal"/>
    <w:next w:val="BodyText"/>
    <w:qFormat/>
    <w:pPr>
      <w:numPr>
        <w:ilvl w:val="0"/>
        <w:numId w:val="12"/>
      </w:numPr>
      <w:spacing w:before="0" w:after="240"/>
      <w:outlineLvl w:val="5"/>
    </w:pPr>
    <w:rPr/>
  </w:style>
  <w:style w:type="paragraph" w:styleId="HeadingL7">
    <w:name w:val="Heading_L7"/>
    <w:basedOn w:val="Normal"/>
    <w:next w:val="BodyText"/>
    <w:qFormat/>
    <w:pPr>
      <w:numPr>
        <w:ilvl w:val="0"/>
        <w:numId w:val="12"/>
      </w:numPr>
      <w:spacing w:before="0" w:after="240"/>
      <w:outlineLvl w:val="6"/>
    </w:pPr>
    <w:rPr/>
  </w:style>
  <w:style w:type="paragraph" w:styleId="HeadingL8">
    <w:name w:val="Heading_L8"/>
    <w:basedOn w:val="Normal"/>
    <w:next w:val="BodyText"/>
    <w:qFormat/>
    <w:pPr>
      <w:numPr>
        <w:ilvl w:val="0"/>
        <w:numId w:val="12"/>
      </w:numPr>
      <w:spacing w:before="0" w:after="240"/>
      <w:outlineLvl w:val="7"/>
    </w:pPr>
    <w:rPr/>
  </w:style>
  <w:style w:type="paragraph" w:styleId="HeadingL9">
    <w:name w:val="Heading_L9"/>
    <w:basedOn w:val="Normal"/>
    <w:next w:val="BodyText"/>
    <w:qFormat/>
    <w:pPr>
      <w:numPr>
        <w:ilvl w:val="0"/>
        <w:numId w:val="12"/>
      </w:numPr>
      <w:spacing w:before="0" w:after="240"/>
      <w:outlineLvl w:val="8"/>
    </w:pPr>
    <w:rPr/>
  </w:style>
  <w:style w:type="paragraph" w:styleId="footnote1">
    <w:name w:val="footnote1"/>
    <w:basedOn w:val="Quote"/>
    <w:qFormat/>
    <w:pPr>
      <w:spacing w:before="0" w:after="120"/>
      <w:ind w:firstLine="720" w:start="1440" w:end="720"/>
    </w:pPr>
    <w:rPr/>
  </w:style>
  <w:style w:type="paragraph" w:styleId="HeadingCont1">
    <w:name w:val="Heading Cont 1"/>
    <w:basedOn w:val="Heading"/>
    <w:qFormat/>
    <w:pPr/>
    <w:rPr/>
  </w:style>
  <w:style w:type="paragraph" w:styleId="HeadingCont2">
    <w:name w:val="Heading Cont 2"/>
    <w:basedOn w:val="Heading"/>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pedersen@jonesday.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mailto:napedersen@jonesday.com" TargetMode="Externa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Pleading.dot</Template>
  <TotalTime>397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2001-02-02T16:12:00Z</dcterms:created>
  <dc:creator>robin beaman</dc:creator>
  <dc:description/>
  <dc:language>en-CA</dc:language>
  <cp:lastModifiedBy>Jaki Hawkins</cp:lastModifiedBy>
  <cp:lastPrinted>2001-02-14T17:06:00Z</cp:lastPrinted>
  <dcterms:modified xsi:type="dcterms:W3CDTF">2001-02-14T22:41:00Z</dcterms:modified>
  <cp:revision>96</cp:revision>
  <dc:subject/>
  <dc:title>BEFORE THE</dc:title>
</cp:coreProperties>
</file>