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960"/>
        <w:rPr/>
      </w:pPr>
      <w:r>
        <w:rPr/>
        <w:t>BEFORE THE PUBLIC UTILITIES COMMISSION</w:t>
        <w:br/>
        <w:t>OF THE STATE OF CALIFORNIA</w:t>
      </w:r>
    </w:p>
    <w:tbl>
      <w:tblPr>
        <w:tblW w:w="9360" w:type="dxa"/>
        <w:jc w:val="start"/>
        <w:tblInd w:w="110" w:type="dxa"/>
        <w:tblLayout w:type="fixed"/>
        <w:tblCellMar>
          <w:top w:w="0" w:type="dxa"/>
          <w:start w:w="110" w:type="dxa"/>
          <w:bottom w:w="0" w:type="dxa"/>
          <w:end w:w="110" w:type="dxa"/>
        </w:tblCellMar>
      </w:tblPr>
      <w:tblGrid>
        <w:gridCol w:w="5040"/>
        <w:gridCol w:w="4320"/>
      </w:tblGrid>
      <w:tr>
        <w:trPr/>
        <w:tc>
          <w:tcPr>
            <w:tcW w:w="5040" w:type="dxa"/>
            <w:tcBorders>
              <w:bottom w:val="single" w:sz="6" w:space="0" w:color="000000"/>
              <w:end w:val="single" w:sz="6" w:space="0" w:color="000000"/>
            </w:tcBorders>
          </w:tcPr>
          <w:p>
            <w:pPr>
              <w:pStyle w:val="EnvelopeReturn"/>
              <w:suppressAutoHyphens w:val="true"/>
              <w:spacing w:lineRule="auto" w:line="240" w:before="0" w:after="6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4320" w:type="dxa"/>
            <w:tcBorders/>
          </w:tcPr>
          <w:p>
            <w:pPr>
              <w:pStyle w:val="Normal"/>
              <w:suppressAutoHyphens w:val="true"/>
              <w:spacing w:before="480" w:after="240"/>
              <w:jc w:val="center"/>
              <w:rPr/>
            </w:pPr>
            <w:r>
              <w:rPr/>
              <w:t>I.99-07-003</w:t>
            </w:r>
          </w:p>
        </w:tc>
      </w:tr>
    </w:tbl>
    <w:p>
      <w:pPr>
        <w:pStyle w:val="Heading"/>
        <w:rPr/>
      </w:pPr>
      <w:r>
        <w:rPr/>
      </w:r>
    </w:p>
    <w:p>
      <w:pPr>
        <w:pStyle w:val="Heading"/>
        <w:spacing w:before="0" w:after="720"/>
        <w:rPr/>
      </w:pPr>
      <w:r>
        <w:rPr/>
      </w:r>
    </w:p>
    <w:p>
      <w:pPr>
        <w:pStyle w:val="Heading"/>
        <w:spacing w:before="0" w:after="840"/>
        <w:rPr>
          <w:rFonts w:ascii="Georgia" w:hAnsi="Georgia" w:cs="Georgia"/>
        </w:rPr>
      </w:pPr>
      <w:r>
        <w:rPr>
          <w:rFonts w:cs="Georgia" w:ascii="Georgia" w:hAnsi="Georgia"/>
        </w:rPr>
        <w:t>SOUTHERN CALIFORNIA GENERATION COALITION</w:t>
        <w:br/>
        <w:t>REPLY BRIEF</w:t>
      </w:r>
    </w:p>
    <w:p>
      <w:pPr>
        <w:pStyle w:val="BodyText"/>
        <w:rPr>
          <w:rFonts w:ascii="Georgia" w:hAnsi="Georgia" w:cs="Georgia"/>
        </w:rPr>
      </w:pPr>
      <w:r>
        <w:rPr>
          <w:rFonts w:cs="Georgia" w:ascii="Georgia" w:hAnsi="Georgia"/>
        </w:rPr>
      </w:r>
    </w:p>
    <w:p>
      <w:pPr>
        <w:pStyle w:val="BodyText"/>
        <w:rPr/>
      </w:pPr>
      <w:r>
        <w:rPr/>
      </w:r>
    </w:p>
    <w:p>
      <w:pPr>
        <w:pStyle w:val="BodyText"/>
        <w:rPr/>
      </w:pPr>
      <w:r>
        <w:rPr/>
      </w:r>
    </w:p>
    <w:tbl>
      <w:tblPr>
        <w:tblW w:w="10350" w:type="dxa"/>
        <w:jc w:val="start"/>
        <w:tblInd w:w="108" w:type="dxa"/>
        <w:tblLayout w:type="fixed"/>
        <w:tblCellMar>
          <w:top w:w="0" w:type="dxa"/>
          <w:start w:w="108" w:type="dxa"/>
          <w:bottom w:w="0" w:type="dxa"/>
          <w:end w:w="108" w:type="dxa"/>
        </w:tblCellMar>
      </w:tblPr>
      <w:tblGrid>
        <w:gridCol w:w="4410"/>
        <w:gridCol w:w="5940"/>
      </w:tblGrid>
      <w:tr>
        <w:trPr>
          <w:trHeight w:val="2770" w:hRule="atLeast"/>
        </w:trPr>
        <w:tc>
          <w:tcPr>
            <w:tcW w:w="4410" w:type="dxa"/>
            <w:tcBorders/>
          </w:tcPr>
          <w:p>
            <w:pPr>
              <w:pStyle w:val="Signature"/>
              <w:snapToGrid w:val="fals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t>Dated: July 31, 2000</w:t>
            </w:r>
          </w:p>
        </w:tc>
        <w:tc>
          <w:tcPr>
            <w:tcW w:w="5940" w:type="dxa"/>
            <w:tcBorders/>
          </w:tcPr>
          <w:p>
            <w:pPr>
              <w:pStyle w:val="BodyText"/>
              <w:spacing w:lineRule="auto" w:line="240"/>
              <w:ind w:hanging="0" w:end="0"/>
              <w:rPr/>
            </w:pPr>
            <w:r>
              <w:rPr/>
              <w:t>Norman A. Pedersen</w:t>
              <w:br/>
              <w:t>JONES, DAY, REAVIS &amp; POGUE</w:t>
              <w:br/>
              <w:t>555 West Fifth Street</w:t>
              <w:br/>
              <w:t>Suite 4600</w:t>
              <w:br/>
              <w:t>Los Angeles, California 90013-1025</w:t>
              <w:br/>
              <w:t>Telephone: (213) 489-3939</w:t>
              <w:br/>
              <w:t>Facsimile:  (213) 243-25391</w:t>
              <w:br/>
              <w:t xml:space="preserve">e-mail:  </w:t>
            </w:r>
            <w:hyperlink r:id="rId2">
              <w:r>
                <w:rPr>
                  <w:rStyle w:val="Hyperlink"/>
                </w:rPr>
                <w:t>napedersen@jonesday.com</w:t>
              </w:r>
            </w:hyperlink>
            <w:r>
              <w:rPr/>
              <w:br/>
              <w:br/>
              <w:t xml:space="preserve">Attorneys for </w:t>
            </w:r>
            <w:r>
              <w:rPr>
                <w:b/>
              </w:rPr>
              <w:t>SOUTHERN CALIFORNIA</w:t>
              <w:br/>
              <w:t>GENERATION COALITION</w:t>
            </w:r>
          </w:p>
        </w:tc>
      </w:tr>
    </w:tbl>
    <w:p>
      <w:pPr>
        <w:sectPr>
          <w:footerReference w:type="default" r:id="rId3"/>
          <w:footerReference w:type="first" r:id="rId4"/>
          <w:type w:val="nextPage"/>
          <w:pgSz w:w="12240" w:h="15840"/>
          <w:pgMar w:left="1440" w:right="1440" w:gutter="0" w:header="0" w:top="1440" w:footer="432" w:bottom="1440"/>
          <w:pgNumType w:start="0" w:fmt="decimal"/>
          <w:formProt w:val="false"/>
          <w:titlePg/>
          <w:textDirection w:val="lrTb"/>
          <w:docGrid w:type="default" w:linePitch="360" w:charSpace="0"/>
        </w:sectPr>
        <w:pStyle w:val="BodyText"/>
        <w:rPr/>
      </w:pPr>
      <w:r>
        <w:rPr/>
      </w:r>
    </w:p>
    <w:p>
      <w:pPr>
        <w:pStyle w:val="Heading"/>
        <w:spacing w:before="0" w:after="960"/>
        <w:rPr/>
      </w:pPr>
      <w:r>
        <w:rPr/>
        <w:t>BEFORE THE PUBLIC UTILITIES COMMISSION</w:t>
        <w:br/>
        <w:t>OF THE STATE OF CALIFORNIA</w:t>
      </w:r>
    </w:p>
    <w:tbl>
      <w:tblPr>
        <w:tblW w:w="9360" w:type="dxa"/>
        <w:jc w:val="start"/>
        <w:tblInd w:w="110" w:type="dxa"/>
        <w:tblLayout w:type="fixed"/>
        <w:tblCellMar>
          <w:top w:w="0" w:type="dxa"/>
          <w:start w:w="110" w:type="dxa"/>
          <w:bottom w:w="0" w:type="dxa"/>
          <w:end w:w="110" w:type="dxa"/>
        </w:tblCellMar>
      </w:tblPr>
      <w:tblGrid>
        <w:gridCol w:w="5040"/>
        <w:gridCol w:w="4320"/>
      </w:tblGrid>
      <w:tr>
        <w:trPr/>
        <w:tc>
          <w:tcPr>
            <w:tcW w:w="5040" w:type="dxa"/>
            <w:tcBorders>
              <w:bottom w:val="single" w:sz="6" w:space="0" w:color="000000"/>
              <w:end w:val="single" w:sz="6" w:space="0" w:color="000000"/>
            </w:tcBorders>
          </w:tcPr>
          <w:p>
            <w:pPr>
              <w:pStyle w:val="EnvelopeReturn"/>
              <w:suppressAutoHyphens w:val="true"/>
              <w:spacing w:lineRule="auto" w:line="240" w:before="0" w:after="6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4320" w:type="dxa"/>
            <w:tcBorders/>
          </w:tcPr>
          <w:p>
            <w:pPr>
              <w:pStyle w:val="Normal"/>
              <w:suppressAutoHyphens w:val="true"/>
              <w:spacing w:before="480" w:after="240"/>
              <w:jc w:val="center"/>
              <w:rPr/>
            </w:pPr>
            <w:r>
              <w:rPr/>
              <w:t>I.99-07-003</w:t>
            </w:r>
          </w:p>
        </w:tc>
      </w:tr>
    </w:tbl>
    <w:p>
      <w:pPr>
        <w:pStyle w:val="BodyText"/>
        <w:spacing w:before="0" w:after="240"/>
        <w:rPr/>
      </w:pPr>
      <w:r>
        <w:rPr/>
      </w:r>
    </w:p>
    <w:p>
      <w:pPr>
        <w:pStyle w:val="Heading"/>
        <w:tabs>
          <w:tab w:val="clear" w:pos="720"/>
          <w:tab w:val="left" w:pos="2430" w:leader="none"/>
        </w:tabs>
        <w:rPr>
          <w:rFonts w:ascii="Georgia" w:hAnsi="Georgia" w:cs="Georgia"/>
        </w:rPr>
      </w:pPr>
      <w:r>
        <w:rPr>
          <w:rFonts w:cs="Georgia" w:ascii="Georgia" w:hAnsi="Georgia"/>
        </w:rPr>
        <w:t>SOUTHERN CALIFORNIA GENERATION COALITION</w:t>
        <w:br/>
        <w:t>REPLY BRIEF</w:t>
      </w:r>
    </w:p>
    <w:p>
      <w:pPr>
        <w:pStyle w:val="BodyText"/>
        <w:rPr/>
      </w:pPr>
      <w:r>
        <w:rPr/>
        <w:t>In accordance with the procedural schedule established in the April 12, 2000 Assigned Commissioner's Ruling in this proceeding and Rule 75 of the Rules of Practice and Procedure of the California Public Utilities Commission ("Commission"), the Southern California Generation Coalition ("SCGC") respectfully submits this Reply Brief in support of the Interim Settlement Agreement ("ISA" or "Interim Settlement") and Post-Interim Settlement Agreement ("PSA" or "Post-Interim Settlement") filed in this proceeding and in opposition to the Comprehensive Settlement Agreement ("CSA" or "Comprehensive Settlement Agreement").  Herein, SCGC replies in opposition to points raised in opening briefs by the following briefing parties:</w:t>
      </w:r>
    </w:p>
    <w:p>
      <w:pPr>
        <w:pStyle w:val="ListBullet31"/>
        <w:numPr>
          <w:ilvl w:val="0"/>
          <w:numId w:val="8"/>
        </w:numPr>
        <w:rPr/>
      </w:pPr>
      <w:r>
        <w:rPr/>
        <w:t>Southern California Gas Company ("SoCalGas");</w:t>
      </w:r>
    </w:p>
    <w:p>
      <w:pPr>
        <w:pStyle w:val="ListBullet31"/>
        <w:numPr>
          <w:ilvl w:val="0"/>
          <w:numId w:val="8"/>
        </w:numPr>
        <w:rPr/>
      </w:pPr>
      <w:r>
        <w:rPr/>
        <w:t>Wild Goose Storage, Inc., Enron North America, and Enron Energy Services, Inc. ("WGSI/Enron");</w:t>
      </w:r>
    </w:p>
    <w:p>
      <w:pPr>
        <w:pStyle w:val="ListBullet31"/>
        <w:numPr>
          <w:ilvl w:val="0"/>
          <w:numId w:val="8"/>
        </w:numPr>
        <w:rPr/>
      </w:pPr>
      <w:r>
        <w:rPr/>
        <w:t>Core Aggregators;</w:t>
      </w:r>
    </w:p>
    <w:p>
      <w:pPr>
        <w:pStyle w:val="ListBullet31"/>
        <w:numPr>
          <w:ilvl w:val="0"/>
          <w:numId w:val="8"/>
        </w:numPr>
        <w:rPr/>
      </w:pPr>
      <w:r>
        <w:rPr/>
        <w:t>Indicated Producers;</w:t>
      </w:r>
    </w:p>
    <w:p>
      <w:pPr>
        <w:pStyle w:val="ListBullet31"/>
        <w:numPr>
          <w:ilvl w:val="0"/>
          <w:numId w:val="8"/>
        </w:numPr>
        <w:rPr/>
      </w:pPr>
      <w:r>
        <w:rPr/>
        <w:t xml:space="preserve">Indicated Electric Generators ("IEG"); </w:t>
      </w:r>
    </w:p>
    <w:p>
      <w:pPr>
        <w:pStyle w:val="ListBullet31"/>
        <w:numPr>
          <w:ilvl w:val="0"/>
          <w:numId w:val="8"/>
        </w:numPr>
        <w:rPr/>
      </w:pPr>
      <w:r>
        <w:rPr/>
        <w:t xml:space="preserve">El Paso Natural Gas Company ("El Paso"); and </w:t>
      </w:r>
    </w:p>
    <w:p>
      <w:pPr>
        <w:pStyle w:val="ListBullet31"/>
        <w:numPr>
          <w:ilvl w:val="0"/>
          <w:numId w:val="8"/>
        </w:numPr>
        <w:rPr/>
      </w:pPr>
      <w:r>
        <w:rPr/>
        <w:t>Office of Ratepayer Advocates ("ORA").</w:t>
      </w:r>
    </w:p>
    <w:p>
      <w:pPr>
        <w:pStyle w:val="BodyTextNoIndent"/>
        <w:rPr/>
      </w:pPr>
      <w:r>
        <w:rPr/>
        <w:t>SCGC replies in support of points raised by the following briefing parties:</w:t>
      </w:r>
    </w:p>
    <w:p>
      <w:pPr>
        <w:pStyle w:val="ListBullet31"/>
        <w:numPr>
          <w:ilvl w:val="0"/>
          <w:numId w:val="8"/>
        </w:numPr>
        <w:rPr/>
      </w:pPr>
      <w:r>
        <w:rPr/>
        <w:t>The Utility Reform Network ("TURN");</w:t>
      </w:r>
    </w:p>
    <w:p>
      <w:pPr>
        <w:pStyle w:val="ListBullet31"/>
        <w:numPr>
          <w:ilvl w:val="0"/>
          <w:numId w:val="8"/>
        </w:numPr>
        <w:rPr/>
      </w:pPr>
      <w:r>
        <w:rPr/>
        <w:t>The City of Long Beach ("Long Beach");</w:t>
      </w:r>
    </w:p>
    <w:p>
      <w:pPr>
        <w:pStyle w:val="ListBullet31"/>
        <w:numPr>
          <w:ilvl w:val="0"/>
          <w:numId w:val="8"/>
        </w:numPr>
        <w:rPr/>
      </w:pPr>
      <w:r>
        <w:rPr/>
        <w:t xml:space="preserve">Southwest Gas Corporation ("Southwest Gas"); </w:t>
      </w:r>
    </w:p>
    <w:p>
      <w:pPr>
        <w:pStyle w:val="ListBullet31"/>
        <w:numPr>
          <w:ilvl w:val="0"/>
          <w:numId w:val="8"/>
        </w:numPr>
        <w:rPr/>
      </w:pPr>
      <w:r>
        <w:rPr/>
        <w:t xml:space="preserve">Department of General Services ("DGS"); and </w:t>
      </w:r>
    </w:p>
    <w:p>
      <w:pPr>
        <w:pStyle w:val="ListBullet31"/>
        <w:numPr>
          <w:ilvl w:val="0"/>
          <w:numId w:val="8"/>
        </w:numPr>
        <w:rPr/>
      </w:pPr>
      <w:r>
        <w:rPr/>
        <w:t>Kern River Gas Transmission Company ("Kern River").</w:t>
      </w:r>
    </w:p>
    <w:p>
      <w:pPr>
        <w:pStyle w:val="Heading1"/>
        <w:ind w:hanging="0" w:start="0"/>
        <w:rPr/>
      </w:pPr>
      <w:bookmarkStart w:id="0" w:name="__RefHeading___Toc489684564"/>
      <w:bookmarkEnd w:id="0"/>
      <w:r>
        <w:rPr/>
        <w:t>INTRODUCTION</w:t>
      </w:r>
    </w:p>
    <w:p>
      <w:pPr>
        <w:pStyle w:val="BodyText"/>
        <w:rPr/>
      </w:pPr>
      <w:r>
        <w:rPr/>
        <w:t>A review of the opening briefs filed by the supporters of the Comprehensive Settlement reveals that the substantive provisions of the Interim Settlement continue to enjoy broad support.  Only one substantive provision of the Interim Settlement is contested in the opening briefs, and that provision is contested only by a single party.</w:t>
      </w:r>
    </w:p>
    <w:p>
      <w:pPr>
        <w:pStyle w:val="BodyText"/>
        <w:rPr/>
      </w:pPr>
      <w:r>
        <w:rPr/>
        <w:t>By contrast, various provisions of both the Post-Interim Settlement and the Comprehensive Settlement are sharply contested.  Some provisions of the Post-Interim Settlement are contested solely by SoCalGas, while other provisions such as the moratorium on transmission unbundling until 2006 are more broadly opposed by Comprehensive Settlement supporters.  Likewise, numerous Comprehensive Settlement provisions are the subject of sustained criticism in opening briefs.  Invariably, the criticisms come from customers that are alarmed by the Comprehensive Settlement’s frontal assault on customer interests.</w:t>
      </w:r>
    </w:p>
    <w:p>
      <w:pPr>
        <w:pStyle w:val="Heading2"/>
        <w:ind w:hanging="0" w:start="0"/>
        <w:rPr/>
      </w:pPr>
      <w:bookmarkStart w:id="1" w:name="__RefHeading___Toc489684565"/>
      <w:bookmarkEnd w:id="1"/>
      <w:r>
        <w:rPr/>
        <w:t>The Comprehensive Settlement is Strongly Opposed by Customers.</w:t>
      </w:r>
    </w:p>
    <w:p>
      <w:pPr>
        <w:pStyle w:val="BodyText"/>
        <w:rPr/>
      </w:pPr>
      <w:r>
        <w:rPr/>
        <w:t xml:space="preserve">The opening briefs in this proceeding reflect a pattern.  Invariably, the parties that have filed opening briefs to oppose the Comprehensive Settlement represent customer interests.  For example, both Long Beach and Southwest Gas are wholesale customers that, in turn, serve residential, commercial, and industrial retail customers.  TURN represents residential customers, while SCGC represents electric generators that operate approximately 12,000 of the 14,000 megawatts of electric generation capacity served by SoCalGas.  Ex. 110.  DGS speaks for the gamut of facilities operated by the State of California, including prisons, hospitals, and universities.  DGS, at 12.  The State agencies take service in virtually every rate category from residential through cogeneration.  </w:t>
      </w:r>
      <w:r>
        <w:rPr>
          <w:i/>
        </w:rPr>
        <w:t>Ibid</w:t>
      </w:r>
      <w:r>
        <w:rPr/>
        <w:t>, at 2.</w:t>
      </w:r>
    </w:p>
    <w:p>
      <w:pPr>
        <w:pStyle w:val="BodyText"/>
        <w:rPr/>
      </w:pPr>
      <w:r>
        <w:rPr/>
        <w:t>By contrast, the supporters of the Comprehensive Settlement tend to be either SoCalGas or representatives of interests that, one way or another, want to make a profit by selling something to the customers.  These include SoCalGas, marketers such as Enron and the core aggregators, storage service providers such as WGSI and Western Hub Properties, LLC ("Western Hub"), pipelines such as El Paso and Transwestern Pipeline Company, and producers.  The list of Comprehensive Settlement supporters also includes ORA, which in other proceedings has tended to take positions that are more closely aligned with customer interests.</w:t>
      </w:r>
    </w:p>
    <w:p>
      <w:pPr>
        <w:pStyle w:val="BodyText"/>
        <w:rPr/>
      </w:pPr>
      <w:r>
        <w:rPr/>
        <w:t xml:space="preserve">Customer support for the Comprehensive Settlement is thin.  IEG tries to portray itself as being a collection of retail electric customers.  Upon closer inspection of the IEG membership, it becomes apparent this is false billing.  IEG lists the participants in its Opening Brief as being Southern California Edison Company ("Edison"), Calpine Corporation ("Calpine"), Dynegy, Inc. ("Dynegy"), and Watson Cogeneration Company ("Watson Cogen").  Edison has divested itself of all of its gas-fired generation facilities.  Likewise, Calpine operates no generation facilities on the SoCalGas system, although IEG says in its Opening Brief that Calpine now has plans to build a plant.  IEG, at 1.  Dynegy does operate two generation plants on the SoCalGas system, but Dynegy has other interests as a major marketer of natural gas.  </w:t>
      </w:r>
      <w:r>
        <w:rPr>
          <w:i/>
        </w:rPr>
        <w:t>See:  Section 5 Complaint, Public Utilities Commission of the State of California v. El Paso Natural Gas Company, et al., FERC Docket No. RP00-241, at 18, et. seq.</w:t>
      </w:r>
      <w:r>
        <w:rPr/>
        <w:t xml:space="preserve"> (April 4, 2000).  Dynegy is the renamed Natural Gas Clearinghouse, which negotiated the contract to take a large amount of El Paso capacity in 1997 that drove up gas prices to California.  </w:t>
      </w:r>
      <w:r>
        <w:rPr>
          <w:i/>
        </w:rPr>
        <w:t>Ibid,</w:t>
      </w:r>
      <w:r>
        <w:rPr/>
        <w:t xml:space="preserve"> at 19, 22.  Lastly, Watson Cogen participated in the IEG briefing group, but Watson Cogen differs from conventional electric generators such as those included in SCGC insofar as, like many cogenerators, it is a high load factor customer.  </w:t>
      </w:r>
    </w:p>
    <w:p>
      <w:pPr>
        <w:pStyle w:val="BodyText"/>
        <w:rPr/>
      </w:pPr>
      <w:r>
        <w:rPr/>
        <w:t>The California Industrial Group and California Manufacturers and Technology Association ("CIG/CMTA") does represent retail noncore interests.  Indeed, SCGC frequently finds itself aligned with CIG/CMTA in proceedings before this Commission.  In this case, CIG/CMTA signed the Comprehensive Settlement, but CIG/CMTA filed no testimony, did not participate in the hearings, and submitted only a perfunctory brief.</w:t>
      </w:r>
    </w:p>
    <w:p>
      <w:pPr>
        <w:pStyle w:val="BodyText"/>
        <w:rPr/>
      </w:pPr>
      <w:r>
        <w:rPr/>
        <w:t>Not only is customer support for the Comprehensive Settlement remarkably thin, especially in comparison to the scope and vehemence of customer opposition, but the support of prominent signatories is peculiarly ambiguous.  There is not a single passage in the SoCalGas Opening Brief that criticizes any substantive provision of the Interim Settlement.  While SoCalGas says it supports the Comprehensive Settlement, it also says it is "willing to accept the Interim Settlement if the Commission finds it acceptable."  SoCalGas, at 7.</w:t>
      </w:r>
    </w:p>
    <w:p>
      <w:pPr>
        <w:pStyle w:val="Heading2"/>
        <w:ind w:hanging="0" w:start="0"/>
        <w:rPr/>
      </w:pPr>
      <w:bookmarkStart w:id="2" w:name="__RefHeading___Toc489684566"/>
      <w:bookmarkEnd w:id="2"/>
      <w:r>
        <w:rPr/>
        <w:t>Outline of this Reply Brief</w:t>
      </w:r>
    </w:p>
    <w:p>
      <w:pPr>
        <w:pStyle w:val="BodyText"/>
        <w:rPr/>
      </w:pPr>
      <w:r>
        <w:rPr/>
        <w:t>Many criticisms of the Comprehensive Settlement have already been discussed in SCGC's Opening Brief as well as in the briefs of others and will not be repeated here.  This Reply Brief is limited to commenting on a miscellaneous potpourri of points that were raised in opening briefs but which were not anticipatorily addressed in SCGC's Opening Brief.  This Reply Brief discusses the points raised in the Executive Summary that appears as a preface to the Brief.</w:t>
      </w:r>
    </w:p>
    <w:p>
      <w:pPr>
        <w:pStyle w:val="Heading1"/>
        <w:ind w:hanging="0" w:start="0"/>
        <w:rPr/>
      </w:pPr>
      <w:bookmarkStart w:id="3" w:name="__RefHeading___Toc489684567"/>
      <w:bookmarkEnd w:id="3"/>
      <w:r>
        <w:rPr/>
        <w:t>THE UNCONTROVERTED SUBSTANTIVE FEATURES OF THE INTERIM SETTLEMENT SHOULD BE IMPLEMENTED PROMPTLY</w:t>
      </w:r>
      <w:r>
        <w:rPr>
          <w:u w:val="none"/>
        </w:rPr>
        <w:t>.</w:t>
      </w:r>
    </w:p>
    <w:p>
      <w:pPr>
        <w:pStyle w:val="BodyText"/>
        <w:rPr/>
      </w:pPr>
      <w:r>
        <w:rPr/>
        <w:t>In its Opening Brief, DGS urges that the Commission carve out the substantive provisions of the Interim Settlement from the rest of this proceeding and immediately implement those provisions insofar as they are widely supported without opposition:</w:t>
      </w:r>
    </w:p>
    <w:p>
      <w:pPr>
        <w:pStyle w:val="Quote"/>
        <w:rPr/>
      </w:pPr>
      <w:r>
        <w:rPr/>
        <w:t xml:space="preserve">The Commission should immediately implement the Interim Solution.  It deals with and resolves the most pressing problems in the SoCalGas system, </w:t>
      </w:r>
      <w:r>
        <w:rPr>
          <w:i/>
        </w:rPr>
        <w:t>i.e.</w:t>
      </w:r>
      <w:r>
        <w:rPr/>
        <w:t>, SoCalGas' non-tariffed windowing procedure, making Hector Road a receipt point, allows pooling and provides a forum for dealing with OFO's among other points.  As we see it, this proposal is essentially without opposition….</w:t>
      </w:r>
    </w:p>
    <w:p>
      <w:pPr>
        <w:pStyle w:val="BodyTextNoIndent"/>
        <w:rPr/>
      </w:pPr>
      <w:r>
        <w:rPr/>
        <w:t xml:space="preserve">DGS, at 2.  SCGC strongly supports DGS's proposal.  As TURN noted in its Opening Brief, all of the substantive provisions of the Interim Settlement can be implemented "within the current system" without tackling any of the broader issues raised by either the Comprehensive Settlement or, for that matter, the Post-Interim Settlement.  TURN, at 23. </w:t>
      </w:r>
    </w:p>
    <w:p>
      <w:pPr>
        <w:pStyle w:val="BodyText"/>
        <w:rPr/>
      </w:pPr>
      <w:r>
        <w:rPr/>
        <w:t>The substantive provisions of the Interim Settlement contain specific reforms that specifically address concrete operational problems that were raised and addressed by a diverse array of shareholders.  The substantive provisions of the Interim Settlement were not designed to put into practice grand principles driven by economic theory, nor were they designed to shift costs or burdens from any market segment to another market segment.  Instead, the Interim Settlement reforms were driven by the immediate need for all participants in the market to increase the efficiency and effectiveness of SoCalGas system operations in practical ways by, for example, defining receipt point capacities, instituting pooling, liberalizing imbalance trading rules and creating an electronic bulletin board ("EBB") for trading storage contracts.</w:t>
      </w:r>
    </w:p>
    <w:p>
      <w:pPr>
        <w:pStyle w:val="BodyText"/>
        <w:rPr/>
      </w:pPr>
      <w:r>
        <w:rPr/>
        <w:t>There was a sense of urgency to the Interim Settlement.  The term provision optimistically assumed that the Settlement would be approved and become effective before June 1, 2000.  Ex. 100, Att. A, at 18.  (ISA §IX).  Unfortunately for all of the market participants that would benefit from the practical reforms of the Interim Settlement, June 1, 2000 has come and gone, and the Settlement has been caught up in the maelstrom of this contentious proceeding.  Now that opening briefs have been filed and it is clear that, with one modest exception, the substantive provisions of the Interim Settlement are not contested, SCGC joins DGS in urging that the substantive provisions be severed, approved, and promptly implemented so that the benefits of those provisions will be permitted to flow to all market participants at the earliest possible date.</w:t>
      </w:r>
    </w:p>
    <w:p>
      <w:pPr>
        <w:pStyle w:val="Heading2"/>
        <w:ind w:hanging="0" w:start="0"/>
        <w:rPr/>
      </w:pPr>
      <w:bookmarkStart w:id="4" w:name="__RefHeading___Toc489684568"/>
      <w:bookmarkEnd w:id="4"/>
      <w:r>
        <w:rPr/>
        <w:t>The Sole Objection By One Party to a Single Provision in the Interim Settlement Can Be Handled in a Variety Of Ways Without Stalling Implementation of the Other Substantive Reforms.</w:t>
      </w:r>
    </w:p>
    <w:p>
      <w:pPr>
        <w:pStyle w:val="BodyText"/>
        <w:rPr/>
      </w:pPr>
      <w:r>
        <w:rPr/>
        <w:t xml:space="preserve">The only party that objected to any substantive provision of the Interim Settlement was El Paso.  El Paso opposes the provision (ISA §III) which establishes criteria that, if satisfied, would trigger a 100 MMcf/d expansion of Wheeler Ridge receipt point capacity.  El Paso, at 3.  El Paso contends that "the evidence suggests a more compelling case for expansion of SoCalGas' receipt point capacity at Topock rather than at Wheeler Ridge." </w:t>
      </w:r>
      <w:r>
        <w:rPr>
          <w:i/>
        </w:rPr>
        <w:t>Ibid,</w:t>
      </w:r>
      <w:r>
        <w:rPr/>
        <w:t xml:space="preserve"> at 12.  </w:t>
      </w:r>
    </w:p>
    <w:p>
      <w:pPr>
        <w:pStyle w:val="BodyText"/>
        <w:rPr/>
      </w:pPr>
      <w:r>
        <w:rPr/>
        <w:t xml:space="preserve">El Paso's criticism of the Wheeler Ridge expansion provision of the Interim Settlement is mistaken.  El Paso seems to understand the Interim Settlement provision as somehow prejudicing expansion at other receipt points.  The Interim Settlement is not intended to have that effect, and it would not.  If it had, SCGC would not have supported it.  </w:t>
      </w:r>
    </w:p>
    <w:p>
      <w:pPr>
        <w:pStyle w:val="BodyText"/>
        <w:rPr/>
      </w:pPr>
      <w:r>
        <w:rPr/>
        <w:t xml:space="preserve">Wheeler Ridge is somewhat unique in that not only is there adequate upstream capacity to serve expanded receipt point and takeaway capacity, Ex. 28, but, also, there is a significant, defined expansion of 100 MMcf/d that can be accomplished easily by installing one compressor that has a relatively modest cost of less than $12 million.  Tr. 742 (Lorenz).  Topock also has adequate upstream capacity available to serve an expanded interconnection, Ex. 28, but it is not clear that SoCalGas’ receipt point and takeaway capacity could be expanded so readily as at Wheeler Ridge.  </w:t>
      </w:r>
    </w:p>
    <w:p>
      <w:pPr>
        <w:pStyle w:val="BodyText"/>
        <w:rPr/>
      </w:pPr>
      <w:r>
        <w:rPr/>
        <w:t xml:space="preserve">SCGC believes that expansion at receipt points other than Wheeler Ridge, particularly, Topock, should be closely examined to determine the economic and operational effectiveness of expansion.  SCGC also believes that the Wheeler Ridge expansion provision of the Interim Settlement does not bar or inhibit such an examination.  Thus, SCGC believes that the expansion provision should be implemented along with the rest of the substantive provisions of the Interim Settlement.  </w:t>
      </w:r>
    </w:p>
    <w:p>
      <w:pPr>
        <w:pStyle w:val="BodyText"/>
        <w:rPr/>
      </w:pPr>
      <w:r>
        <w:rPr/>
        <w:t xml:space="preserve">However, as a practical matter, the Wheeler Ridge expansion provision does not have the same urgency as the operational reforms contained in the Interim Settlement.  Customers are not clamoring for expansion right now.  Accordingly, if it would facilitate prompt implementation of the operational reforms, SCGC believes it would be appropriate for the Commission to phase implementation of the Interim Settlement so that all substantive provisions except the specific proposal to which El Paso objects can be implemented as soon as possible, with the Wheeler Ridge expansion provision being implemented later.  </w:t>
      </w:r>
    </w:p>
    <w:p>
      <w:pPr>
        <w:pStyle w:val="Heading2"/>
        <w:ind w:hanging="0" w:start="0"/>
        <w:rPr/>
      </w:pPr>
      <w:bookmarkStart w:id="5" w:name="__RefHeading___Toc489684569"/>
      <w:bookmarkEnd w:id="5"/>
      <w:r>
        <w:rPr/>
        <w:t>The Procedural Provisions of the Interim Settlement Are Either Moot or Can Be Phased for Implementation at a Later Date.</w:t>
      </w:r>
    </w:p>
    <w:p>
      <w:pPr>
        <w:pStyle w:val="BodyText"/>
        <w:rPr/>
      </w:pPr>
      <w:r>
        <w:rPr/>
        <w:t>Aside from the substantive provisions, there were several procedural provisions in the Interim Settlement.  In addition to the provision specifying the term, there was a provision for a "collaborative process" which was to result in a proposal being submitted to the Commission by September 1, 2000 for further regulatory reforms to be effective on or after January 1, 2003.  Ex. 100, Att. A, at 20 (ISA §XI)</w:t>
      </w:r>
      <w:r>
        <w:fldChar w:fldCharType="begin"/>
      </w:r>
      <w:r>
        <w:rPr>
          <w:b/>
        </w:rPr>
        <w:instrText xml:space="preserve">l "Ex. 100, Att. A, at 20 ISA §XI" \s "Ex. 100, Att. A, at 20 ISA §XI" \c 3 </w:instrText>
      </w:r>
      <w:r>
        <w:rPr>
          <w:b/>
        </w:rPr>
      </w:r>
      <w:r>
        <w:rPr>
          <w:b/>
        </w:rPr>
        <w:fldChar w:fldCharType="separate"/>
      </w:r>
      <w:r>
        <w:rPr>
          <w:b/>
        </w:rPr>
        <w:t>Error! Bookmark not defined.</w:t>
      </w:r>
      <w:r>
        <w:rPr>
          <w:b/>
        </w:rPr>
      </w:r>
      <w:r>
        <w:rPr>
          <w:b/>
        </w:rPr>
        <w:fldChar w:fldCharType="end"/>
      </w:r>
      <w:r>
        <w:rPr/>
        <w:t xml:space="preserve">.  Also, there was a provision preventing certain regulatory reforms from being implemented before January 1, 2003.  </w:t>
      </w:r>
      <w:r>
        <w:rPr>
          <w:i/>
        </w:rPr>
        <w:t>Ibid,</w:t>
      </w:r>
      <w:r>
        <w:rPr/>
        <w:t xml:space="preserve"> at 18 (ISA §IX</w:t>
      </w:r>
      <w:r>
        <w:fldChar w:fldCharType="begin"/>
      </w:r>
      <w:r>
        <w:rPr>
          <w:b/>
        </w:rPr>
        <w:instrText xml:space="preserve">l "ISA §IX" \s "ISA §IX" \c 3 </w:instrText>
      </w:r>
      <w:r>
        <w:rPr>
          <w:b/>
        </w:rPr>
      </w:r>
      <w:r>
        <w:rPr>
          <w:b/>
        </w:rPr>
        <w:fldChar w:fldCharType="separate"/>
      </w:r>
      <w:r>
        <w:rPr>
          <w:b/>
        </w:rPr>
        <w:t>Error! Bookmark not defined.</w:t>
      </w:r>
      <w:r>
        <w:rPr>
          <w:b/>
        </w:rPr>
      </w:r>
      <w:r>
        <w:rPr>
          <w:b/>
        </w:rPr>
        <w:fldChar w:fldCharType="end"/>
      </w:r>
      <w:r>
        <w:rPr/>
        <w:t xml:space="preserve">).  At this point, the provision for a collaborative process is clearly moot.  </w:t>
      </w:r>
    </w:p>
    <w:p>
      <w:pPr>
        <w:pStyle w:val="BodyText"/>
        <w:rPr/>
      </w:pPr>
      <w:r>
        <w:rPr/>
        <w:t>SCGC continues to support the ban on various other regulatory changes being implemented prior to January 1, 2003.  Indeed, as a supporter of the Post-Interim Settlement, SCGC believes that at least one of those reforms, the unbundling of “backbone” capacity, should be delayed until 2006.  However, adoption and implementation of the ban on further changes could be delayed until after implementation of the substantive Interim Settlement reforms, just as implementation of the Wheeler Ridge expansion provision could be delayed in light of El Paso's opposition.  This would permit the substantive reforms that are needed the most by customers to be implemented immediately.</w:t>
      </w:r>
    </w:p>
    <w:p>
      <w:pPr>
        <w:pStyle w:val="Heading2"/>
        <w:ind w:hanging="0" w:start="0"/>
        <w:rPr/>
      </w:pPr>
      <w:bookmarkStart w:id="6" w:name="__RefHeading___Toc489684570"/>
      <w:bookmarkEnd w:id="6"/>
      <w:r>
        <w:rPr/>
        <w:t>Generators Need Prompt Implementation of the Substantive Interim Settlement Reforms.</w:t>
      </w:r>
    </w:p>
    <w:p>
      <w:pPr>
        <w:pStyle w:val="BodyText"/>
        <w:rPr/>
      </w:pPr>
      <w:r>
        <w:rPr/>
        <w:t xml:space="preserve">The operational changes that would be implemented by the Interim Settlement are badly needed by electric generators to enhance the efficiency of their operations.  SCGC has consistently given strong support to the Interim Settlement and has, equally consistently, urged prompt implementation so that California electric generators can operate more economically and efficiently.  SCGC hopes that the Commission shares SCGC's objective and will free the substantive provisions of the Interim Settlement from the straitjacket of this complex proceeding so that the Interim Settlement reforms can be implemented at the earliest possible date, as urged by DGS.  </w:t>
      </w:r>
    </w:p>
    <w:p>
      <w:pPr>
        <w:pStyle w:val="Heading1"/>
        <w:ind w:hanging="0" w:start="0"/>
        <w:rPr/>
      </w:pPr>
      <w:bookmarkStart w:id="7" w:name="__RefHeading___Toc489684571"/>
      <w:bookmarkEnd w:id="7"/>
      <w:r>
        <w:rPr/>
        <w:t>STATEWIDE CONSISTENCY IS NOT A COMPELLING GOAL, AND IT IS NOT ACHIEVED BY THE COMPREHENSIVE SETTLEMENT</w:t>
      </w:r>
      <w:r>
        <w:rPr>
          <w:u w:val="none"/>
        </w:rPr>
        <w:t>.</w:t>
      </w:r>
    </w:p>
    <w:p>
      <w:pPr>
        <w:pStyle w:val="BodyText"/>
        <w:rPr/>
      </w:pPr>
      <w:r>
        <w:rPr/>
        <w:t xml:space="preserve">Some of the Comprehensive Settlement supporters continue to believe that "statewide consistency" is somehow a compelling goal.  Further, they seem to believe it is achieved by the Comprehensive Settlement.  </w:t>
      </w:r>
      <w:r>
        <w:rPr>
          <w:i/>
        </w:rPr>
        <w:t xml:space="preserve">See, e.g., </w:t>
      </w:r>
      <w:r>
        <w:rPr/>
        <w:t xml:space="preserve">ORA, at 13.  Neither is true.  </w:t>
      </w:r>
    </w:p>
    <w:p>
      <w:pPr>
        <w:pStyle w:val="Heading2"/>
        <w:ind w:hanging="0" w:start="0"/>
        <w:rPr/>
      </w:pPr>
      <w:bookmarkStart w:id="8" w:name="__RefHeading___Toc489684572"/>
      <w:bookmarkEnd w:id="8"/>
      <w:r>
        <w:rPr/>
        <w:t>Statewide Consistency Is Not a Compelling Goal.</w:t>
      </w:r>
    </w:p>
    <w:p>
      <w:pPr>
        <w:pStyle w:val="BodyText"/>
        <w:rPr/>
      </w:pPr>
      <w:r>
        <w:rPr/>
        <w:t xml:space="preserve">Statewide consistency is not a compelling goal.  The SoCalGas and PG&amp;E systems are operationally distinct.  For example, as explained in the SCGC Opening Brief, at 17-20, the SoCalGas system operates as a grid, unlike the PG&amp;E system.  Furthermore, the SoCalGas system is rich in storage capacity, but poor in transmission capacity, while the PG&amp;E system is the reverse.  </w:t>
      </w:r>
      <w:r>
        <w:rPr>
          <w:i/>
        </w:rPr>
        <w:t>Ibid.</w:t>
      </w:r>
      <w:r>
        <w:rPr/>
        <w:t xml:space="preserve">  </w:t>
      </w:r>
    </w:p>
    <w:p>
      <w:pPr>
        <w:pStyle w:val="BodyText"/>
        <w:rPr/>
      </w:pPr>
      <w:r>
        <w:rPr/>
        <w:t>Additionally, PG&amp;E’s circumstances at the time that the Gas Accord was being negotiated were very different from SoCalGas' situation today.  PG&amp;E was afflicted by profound conflicts of interest, wide discrepancies in delivered gas prices at different receipt points, and pancaked reasonableness reviews of highly questionable conduct.  While SoCalGas may have some conflicts of interest here and there that should be addressed, SoCalGas is nowhere close to where PG&amp;E was several years ago.  A key indicator of the difference between the circumstances surrounding PG&amp;E at the time of the Gas Accord and SoCalGas' situation today is exemplified by the fact that PG&amp;E absorbed $283 million in costs as the price for the Gas Accord.  D.97-08-055, slip op., at 23 (August 1, 1997).  There is no suggestion in the Comprehensive Settlement or elsewhere in this proceeding that SoCalGas should be required to cough up as did PG&amp;E.  SCGC believes it is both operationally and circumstantially inappropriate to insist that SoCalGas adopt a system that would achieve consistency with a Gas Accord scheme that was tailored to fit the unique operational and historical circumstances that confronted PG&amp;E in 1997.</w:t>
      </w:r>
    </w:p>
    <w:p>
      <w:pPr>
        <w:pStyle w:val="BodyText"/>
        <w:rPr/>
      </w:pPr>
      <w:r>
        <w:rPr/>
        <w:t>Customers do not have a burning need for consistency between SoCalGas and PG&amp;E.  DGS notes that it is a multi-LDC jurisdictional customer, and it sees little if any benefit from the efforts to achieve statewide consistency for its own sake.  DGS, at 9.  SCGC agrees.</w:t>
      </w:r>
    </w:p>
    <w:p>
      <w:pPr>
        <w:pStyle w:val="Heading2"/>
        <w:ind w:hanging="0" w:start="0"/>
        <w:rPr/>
      </w:pPr>
      <w:bookmarkStart w:id="9" w:name="__RefHeading___Toc489684573"/>
      <w:bookmarkEnd w:id="9"/>
      <w:r>
        <w:rPr/>
        <w:t>The Comprehensive Settlement Fails to Achieve Statewide Consistency.</w:t>
      </w:r>
    </w:p>
    <w:p>
      <w:pPr>
        <w:pStyle w:val="BodyText"/>
        <w:rPr/>
      </w:pPr>
      <w:r>
        <w:rPr/>
        <w:t>Even if it were concluded that statewide consistency between SoCalGas and PG&amp;E were somehow a compelling objective, the Comprehensive Settlement fails to achieve that objective in a plethora of ways.  For example, the Gas Accord establishes transmission paths for PG&amp;E, but the Comprehensive Settlement does not for SoCalGas.  Ex. 1, at 8 (CSA §1.1.3.1)</w:t>
      </w:r>
      <w:r>
        <w:fldChar w:fldCharType="begin"/>
      </w:r>
      <w:r>
        <w:rPr>
          <w:b/>
        </w:rPr>
        <w:instrText xml:space="preserve">l "Ex. 1, at 8 CSA §1.1.3.1" \s "Ex. 1, at 8 CSA §1.1.3.1" \c 3 </w:instrText>
      </w:r>
      <w:r>
        <w:rPr>
          <w:b/>
        </w:rPr>
      </w:r>
      <w:r>
        <w:rPr>
          <w:b/>
        </w:rPr>
        <w:fldChar w:fldCharType="separate"/>
      </w:r>
      <w:r>
        <w:rPr>
          <w:b/>
        </w:rPr>
        <w:t>Error! Bookmark not defined.</w:t>
      </w:r>
      <w:r>
        <w:rPr>
          <w:b/>
        </w:rPr>
      </w:r>
      <w:r>
        <w:rPr>
          <w:b/>
        </w:rPr>
        <w:fldChar w:fldCharType="end"/>
      </w:r>
      <w:r>
        <w:rPr/>
        <w:t>.  Likewise, the Gas Accord gives a higher value to bids for "backbone" capacity that commit to a Straight Fixed Variable ("SFV") rather than Modified Fixed Variable ("MFV") rate design, but the Comprehensive Settlement does not.  Ex. 1, at 17 (CSA §1.1.3.6.5)</w:t>
      </w:r>
      <w:r>
        <w:fldChar w:fldCharType="begin"/>
      </w:r>
      <w:r>
        <w:rPr>
          <w:b/>
        </w:rPr>
        <w:instrText xml:space="preserve">l "Ex. 1, at 17 CSA §1.1.3.6.5" \s "Ex. 1, at 17 CSA §1.1.3.6.5" \c 3 </w:instrText>
      </w:r>
      <w:r>
        <w:rPr>
          <w:b/>
        </w:rPr>
      </w:r>
      <w:r>
        <w:rPr>
          <w:b/>
        </w:rPr>
        <w:fldChar w:fldCharType="separate"/>
      </w:r>
      <w:r>
        <w:rPr>
          <w:b/>
        </w:rPr>
        <w:t>Error! Bookmark not defined.</w:t>
      </w:r>
      <w:r>
        <w:rPr>
          <w:b/>
        </w:rPr>
      </w:r>
      <w:r>
        <w:rPr>
          <w:b/>
        </w:rPr>
        <w:fldChar w:fldCharType="end"/>
      </w:r>
      <w:r>
        <w:rPr/>
        <w:t>.  Likewise, as DGS notes, DGS, at 10, the SoCalGas and PG&amp;E processes for nominations, billing, and balancing are different.</w:t>
      </w:r>
    </w:p>
    <w:p>
      <w:pPr>
        <w:pStyle w:val="BodyText"/>
        <w:rPr/>
      </w:pPr>
      <w:r>
        <w:rPr/>
        <w:t>One of the most significant differences between the Gas Accord and the Comprehensive Settlement is the termination date.  The Gas Accord will terminate on December 31, 2002, while the Comprehensive Settlement would terminate on August 31, 2006.  Ex. 1, at 6 (CSA §1.7)</w:t>
      </w:r>
      <w:r>
        <w:fldChar w:fldCharType="begin"/>
      </w:r>
      <w:r>
        <w:rPr>
          <w:b/>
        </w:rPr>
        <w:instrText xml:space="preserve">l "Ex. 1, at 6 CSA §1.7" \s "Ex. 1, at 6 CSA §1.7" \c 3 </w:instrText>
      </w:r>
      <w:r>
        <w:rPr>
          <w:b/>
        </w:rPr>
      </w:r>
      <w:r>
        <w:rPr>
          <w:b/>
        </w:rPr>
        <w:fldChar w:fldCharType="separate"/>
      </w:r>
      <w:r>
        <w:rPr>
          <w:b/>
        </w:rPr>
        <w:t>Error! Bookmark not defined.</w:t>
      </w:r>
      <w:r>
        <w:rPr>
          <w:b/>
        </w:rPr>
      </w:r>
      <w:r>
        <w:rPr>
          <w:b/>
        </w:rPr>
        <w:fldChar w:fldCharType="end"/>
      </w:r>
      <w:r>
        <w:rPr/>
        <w:t xml:space="preserve">.  This asymmetry in termination dates prevents the Commission from getting to a time at which it could simultaneously consider the fundamental regulatory structures for both SoCalGas and PG&amp;E.  To the extent that parties see statewide consistency as being a legitimate objective, the Comprehensive Settlement fails to achieve it and would prevent it from being achieved in the future.  </w:t>
      </w:r>
    </w:p>
    <w:p>
      <w:pPr>
        <w:pStyle w:val="Heading1"/>
        <w:ind w:hanging="0" w:start="0"/>
        <w:rPr/>
      </w:pPr>
      <w:bookmarkStart w:id="10" w:name="__RefHeading___Toc489684574"/>
      <w:bookmarkEnd w:id="10"/>
      <w:r>
        <w:rPr/>
        <w:t>THIS PROCEEDING WAS INSTITUTED TO DETERMINE WHICH MOST PROMISING OPTIONS SHOULD BE ACCOMPLISHED, NOT TO ADOPT ALL OPTIONS REGARDLESS OF COST</w:t>
      </w:r>
      <w:r>
        <w:rPr>
          <w:u w:val="none"/>
        </w:rPr>
        <w:t>.</w:t>
      </w:r>
    </w:p>
    <w:p>
      <w:pPr>
        <w:pStyle w:val="BodyText"/>
        <w:rPr/>
      </w:pPr>
      <w:r>
        <w:rPr/>
        <w:t xml:space="preserve">A number of Comprehensive Settlement supporters seem to think that the point of this proceeding is to accomplish regardless of cost all of the options that the Commission indicated as being "most promising options" in D.99-07-015 (July 8, 1999).  </w:t>
      </w:r>
      <w:r>
        <w:rPr>
          <w:i/>
        </w:rPr>
        <w:t xml:space="preserve">See e.g., </w:t>
      </w:r>
      <w:r>
        <w:rPr/>
        <w:t xml:space="preserve">SoCalGas, at 1.  That is not the case.  In D.99-07-015, the Commission "identified the most promising options for structural changes to the regulated California natural gas industry."  D.99-07-015, slip op., at 143.  The current proceeding was then instituted to "focus our inquiry on the benefits and costs related to the adoption of the options identified in D.99-07-015.  </w:t>
      </w:r>
      <w:r>
        <w:rPr>
          <w:i/>
        </w:rPr>
        <w:t>Ibid,</w:t>
      </w:r>
      <w:r>
        <w:rPr/>
        <w:t xml:space="preserve"> at 143-144.  Thus, measures that were identified in D.99-07-015 as "most promising options" were not intended by the Commission to be adopted regardless of cost.  Rather, options were to be scrutinized and to be adopted only if benefits outweighed costs.  The Comprehensive Settlement supporters are misguided in believing that the goal here is simply to adopt as many of the most promising options as possible.</w:t>
      </w:r>
    </w:p>
    <w:p>
      <w:pPr>
        <w:pStyle w:val="BodyText"/>
        <w:rPr/>
      </w:pPr>
      <w:r>
        <w:rPr/>
        <w:t xml:space="preserve">Intentionally, in contrast to the Comprehensive Settlement, neither the Interim nor the Post-Interim Settlement set out to accomplish all of the "most promising options" identified in D.99-07-015.  For example, as discussed in SCGC's Opening Brief as well as the briefs of others such as Long Beach, Southwest Gas, TURN, and DGS, the "most promising options" of unbundling "backbone" capacity and creating a system of tradable transmission rights are explicitly rejected as imposing costs that would be far greater than any benefits.  In any event, as discussed above, the Comprehensive Settlement also fails to achieve all of the most promising options.  </w:t>
      </w:r>
    </w:p>
    <w:p>
      <w:pPr>
        <w:pStyle w:val="Heading1"/>
        <w:ind w:hanging="0" w:start="0"/>
        <w:rPr/>
      </w:pPr>
      <w:bookmarkStart w:id="11" w:name="__RefHeading___Toc489684575"/>
      <w:bookmarkEnd w:id="11"/>
      <w:r>
        <w:rPr/>
        <w:t>THE COST OF THE COMPREHENSIVE SETTLEMENT PROVISIONS OUTWEIGHS THE BENEFITS</w:t>
      </w:r>
      <w:r>
        <w:rPr>
          <w:u w:val="none"/>
        </w:rPr>
        <w:t>.</w:t>
      </w:r>
    </w:p>
    <w:p>
      <w:pPr>
        <w:pStyle w:val="BodyText"/>
        <w:rPr/>
      </w:pPr>
      <w:r>
        <w:rPr/>
        <w:t>The Comprehensive Settlement supporters contend that the benefits of the Comprehensive Settlement outweigh the costs for both the core and the noncore.  A closer examination shows that exactly the opposite is true.</w:t>
      </w:r>
    </w:p>
    <w:p>
      <w:pPr>
        <w:pStyle w:val="Heading2"/>
        <w:ind w:hanging="0" w:start="0"/>
        <w:rPr/>
      </w:pPr>
      <w:bookmarkStart w:id="12" w:name="__RefHeading___Toc489684576"/>
      <w:bookmarkEnd w:id="12"/>
      <w:r>
        <w:rPr/>
        <w:t>The Costs of the Comprehensive Settlement Outweigh the Benefits for the Core.</w:t>
      </w:r>
    </w:p>
    <w:p>
      <w:pPr>
        <w:pStyle w:val="BodyText"/>
        <w:rPr/>
      </w:pPr>
      <w:r>
        <w:rPr/>
        <w:t xml:space="preserve">Comprehensive Settlement supporters argue that, as a measure of benefit, the Comprehensive Settlement would reduce residential core procurement customer rates by $2.7 million per year.  </w:t>
      </w:r>
      <w:r>
        <w:rPr>
          <w:i/>
        </w:rPr>
        <w:t>See, e.g.</w:t>
      </w:r>
      <w:r>
        <w:rPr/>
        <w:t xml:space="preserve">, SoCalGas, at 5, Core Aggregators, at 11.  More generally, SoCalGas, based on a forecast for 2002, claims that the Comprehensive Settlement would reduce rates for residential customers, including both procurement and transportation-only customers, by $3.8 million and would reduce core commercial and industrial ("C&amp;I") rates by $3.4 million for a total reduction of $7.2 million for the core class as a whole.  SoCalGas, at 90; </w:t>
      </w:r>
      <w:r>
        <w:rPr>
          <w:i/>
        </w:rPr>
        <w:t xml:space="preserve">citing </w:t>
      </w:r>
      <w:r>
        <w:rPr/>
        <w:t xml:space="preserve">Ex. 12, at 27 (Lorenz); Ex. 27, Att. 8, 9 (Lorenz).  In fact, there would be no rate benefit at all.  To the contrary, the core would suffer a substantial net detriment if the Comprehensive Settlement rather than the Post-Interim Settlement were adopted.  </w:t>
      </w:r>
    </w:p>
    <w:p>
      <w:pPr>
        <w:pStyle w:val="Heading3"/>
        <w:ind w:hanging="450" w:start="1170"/>
        <w:rPr/>
      </w:pPr>
      <w:bookmarkStart w:id="13" w:name="__RefHeading___Toc489684577"/>
      <w:bookmarkEnd w:id="13"/>
      <w:r>
        <w:rPr/>
        <w:t>If the Elimination of the Core ITCS Contribution Is Put Aside as a Common Element, the Comprehensive Settlement Raises Core Rates.</w:t>
      </w:r>
    </w:p>
    <w:p>
      <w:pPr>
        <w:pStyle w:val="BodyText"/>
        <w:rPr/>
      </w:pPr>
      <w:r>
        <w:rPr/>
        <w:t>All of the $7.2 million rate decrease that Comprehensive Settlement supporters say that the core would get as a result of adoption of the Comprehensive Settlement is directly attributable to the elimination of the core contribution to covering Interstate Transition Cost Surcharge ("ITCS") costs, which SoCalGas projects to represent $7.5 million in 2002.  Ex. 27, Att. 8.  However, both the Post-Interim Settlement and the Comprehensive Settlement eliminate the core contribution to covering ITCS costs.  Accordingly, eliminating the core contribution should not be seen as a benefit peculiar to the Comprehensive Settlement.  It is a point of general agreement in this proceeding.  If the benefit of eliminating the core contribution to covering ITCS costs is eliminated from consideration, it is apparent that the Comprehensive Settlement results in a $300,000 rate increase for the core, based on SoCalGas’ figures for 2002.</w:t>
      </w:r>
    </w:p>
    <w:p>
      <w:pPr>
        <w:pStyle w:val="Heading3"/>
        <w:ind w:hanging="450" w:start="1170"/>
        <w:rPr/>
      </w:pPr>
      <w:bookmarkStart w:id="14" w:name="__RefHeading___Toc489684578"/>
      <w:bookmarkEnd w:id="14"/>
      <w:r>
        <w:rPr/>
        <w:t>Elimination of Customer Responsibility for Storage Stranded Costs Should Be Put Aside Insofar as it is a Common Element to both the Comprehensive Settlement and the Interim Settlement.</w:t>
      </w:r>
    </w:p>
    <w:p>
      <w:pPr>
        <w:pStyle w:val="BodyText"/>
        <w:rPr/>
      </w:pPr>
      <w:r>
        <w:rPr/>
        <w:t>ORA points out that insofar as the Comprehensive Settlement eliminates any customer responsibility for bearing storage-related stranded costs, the core derives a benefit of $1.8 million.  ORA, at 31.  However, as with elimination of the core contribution to covering ITCS costs, both the Comprehensive Settlement and the Post-Interim Settlement eliminate customer responsibility for stranded storage costs.  Thus, this $1.8 million savings, like the $7.5 million savings, should be eliminated in comparing the benefits of the Comprehensive Settlement to the benefits of the Post-Interim Settlement.</w:t>
      </w:r>
    </w:p>
    <w:p>
      <w:pPr>
        <w:pStyle w:val="Heading3"/>
        <w:ind w:hanging="450" w:start="1170"/>
        <w:rPr/>
      </w:pPr>
      <w:bookmarkStart w:id="15" w:name="__RefHeading___Toc489684579"/>
      <w:bookmarkEnd w:id="15"/>
      <w:r>
        <w:rPr/>
        <w:t>The Comprehensive Settlement Takes Value Away from the Core by Reducing Core Assets and Benefits of System-Wide Operations Without a Corresponding Rate Benefit.</w:t>
      </w:r>
    </w:p>
    <w:p>
      <w:pPr>
        <w:pStyle w:val="BodyText"/>
        <w:rPr/>
      </w:pPr>
      <w:r>
        <w:rPr/>
        <w:t>Not only would the core be worse off by $300,000 if the Comprehensive Settlement were adopted rather than the Post-Interim Settlement based on SoCalGas' 2002 forecast.  Ex. 27, Att. 8.  Additionally, the core loses the use of assets and benefits of system-wide operation that the core would retain under the Post-Interim Settlement.  Rather than resulting in a reduction of costs that lowers rates, the loss of assets does nothing more than offset the shift of other costs to the core.</w:t>
      </w:r>
    </w:p>
    <w:p>
      <w:pPr>
        <w:pStyle w:val="Heading4"/>
        <w:ind w:hanging="0" w:start="0"/>
        <w:rPr/>
      </w:pPr>
      <w:bookmarkStart w:id="16" w:name="__RefHeading___Toc489684580"/>
      <w:bookmarkEnd w:id="16"/>
      <w:r>
        <w:rPr/>
        <w:t>The Comprehensive Settlement Shifts Costs to the Core.</w:t>
      </w:r>
    </w:p>
    <w:p>
      <w:pPr>
        <w:pStyle w:val="BodyText"/>
        <w:rPr/>
      </w:pPr>
      <w:r>
        <w:rPr/>
        <w:t xml:space="preserve">The Comprehensive Settlement shifts costs to the core.  For example, even though the Comprehensive Settlement reserves only 1,000 MMcf/d of "backbone" transmission capacity for the core, 22 MMcf/d less than the transmission capacity that was assigned to the core in the 1999 SoCalGas BCAP, D.00-04-060, the Comprehensive Settlement still allocates </w:t>
      </w:r>
      <w:r>
        <w:rPr>
          <w:b/>
        </w:rPr>
        <w:t>$4.7 million</w:t>
      </w:r>
      <w:r>
        <w:rPr/>
        <w:t xml:space="preserve"> more in transmission costs to the core than under the current BCAP methodology or under the Post-Interim Settlement.  TURN, at 31, 56, 67.  </w:t>
      </w:r>
    </w:p>
    <w:p>
      <w:pPr>
        <w:pStyle w:val="BodyText"/>
        <w:rPr/>
      </w:pPr>
      <w:r>
        <w:rPr/>
        <w:t xml:space="preserve">Likewise, instead of eliminating Montebello costs from core rates, as does the Post-Interim Settlement, the Comprehensive Settlement increases the Montebello costs that are allocated to the core through the LRMC scaler by 10 percent to approximately 94 percent.  As a result, core customers would pay up to </w:t>
      </w:r>
      <w:r>
        <w:rPr>
          <w:b/>
        </w:rPr>
        <w:t>$1.5 million</w:t>
      </w:r>
      <w:r>
        <w:rPr/>
        <w:t xml:space="preserve"> more per year for Montebello costs than they would under the BCAP and much more than under the Post-Interim Settlement.  TURN, at 51.  Thus, given the transmission cost and Montebello items alone, the Comprehensive Settlement would shift up to approximately </w:t>
      </w:r>
      <w:r>
        <w:rPr>
          <w:b/>
        </w:rPr>
        <w:t>$6.2 million</w:t>
      </w:r>
      <w:r>
        <w:rPr/>
        <w:t xml:space="preserve"> to the core in contrast to the 1999 BCAP methodology and even more in contrast to the Post-Interim Settlement.</w:t>
      </w:r>
    </w:p>
    <w:p>
      <w:pPr>
        <w:pStyle w:val="Heading4"/>
        <w:ind w:hanging="0" w:start="0"/>
        <w:rPr/>
      </w:pPr>
      <w:bookmarkStart w:id="17" w:name="__RefHeading___Toc489684581"/>
      <w:bookmarkEnd w:id="17"/>
      <w:r>
        <w:rPr/>
        <w:t>The Comprehensive Settlement Offsets the Cost Shifts to the Core by Reducing Core Assets.</w:t>
      </w:r>
    </w:p>
    <w:p>
      <w:pPr>
        <w:pStyle w:val="BodyText"/>
        <w:rPr/>
      </w:pPr>
      <w:r>
        <w:rPr/>
        <w:t xml:space="preserve">In order to offset these cost shifts in order to avoid driving up core rates, the Comprehensive Settlement strategy is simple:  reduce the facilities that are currently available to the core.  The Comprehensive Settlement supporters are like an automobile dealer that raises the price of a car but then brings the price back down to where it was originally by eliminating the bigger engine, the CD player, the leather seats, and the cruise control from the “standard package.”  Using the strategy of reducing what is currently in the core’s “standard package,” the Comprehensive Settlement supporters reduce the core's storage inventory capacity by 21 percent from 70 bcf to 55 bcf.  This provides a </w:t>
      </w:r>
      <w:r>
        <w:rPr>
          <w:b/>
        </w:rPr>
        <w:t>$5.2 million</w:t>
      </w:r>
      <w:r>
        <w:rPr/>
        <w:t xml:space="preserve"> offset to the costs reallocated to the core.  TURN, at 44; Ex. 2, at 18.</w:t>
      </w:r>
    </w:p>
    <w:p>
      <w:pPr>
        <w:pStyle w:val="BodyText"/>
        <w:rPr/>
      </w:pPr>
      <w:r>
        <w:rPr/>
        <w:t>Likewise, the Comprehensive Settlement reduces the core’s storage injection capacity.  The Comprehensive Settlement reduces the system-wide storage injection reservation for balancing purposes from the current level of 354.9 MMcf/d of injection to 250 MMcf/d of injection.  Ex. 1, at 30 (CSA §2.1.3.1)</w:t>
      </w:r>
      <w:r>
        <w:fldChar w:fldCharType="begin"/>
      </w:r>
      <w:r>
        <w:rPr>
          <w:b/>
        </w:rPr>
        <w:instrText xml:space="preserve"> l "Ex. 1, at 30 CSA §2.1.3.1" \s "Ex. 1, at 30 CSA §2.1.3.1" \c 3 </w:instrText>
      </w:r>
      <w:r>
        <w:rPr>
          <w:b/>
        </w:rPr>
      </w:r>
      <w:r>
        <w:rPr>
          <w:b/>
        </w:rPr>
        <w:fldChar w:fldCharType="separate"/>
      </w:r>
      <w:r>
        <w:rPr>
          <w:b/>
        </w:rPr>
        <w:t>Error! Bookmark not defined.</w:t>
      </w:r>
      <w:r>
        <w:rPr>
          <w:b/>
        </w:rPr>
      </w:r>
      <w:r>
        <w:rPr>
          <w:b/>
        </w:rPr>
        <w:fldChar w:fldCharType="end"/>
      </w:r>
      <w:r>
        <w:rPr/>
        <w:t xml:space="preserve">.  Part of the injection capacity that would no longer be reserved would be the 25.5 MMcf/d core share of the current 354.9 MMcf/d reservation.  Eliminating the 25.5 MMcf/d of balancing injection capacity from the core’s “standard package” reduces core costs by another </w:t>
      </w:r>
      <w:r>
        <w:rPr>
          <w:b/>
        </w:rPr>
        <w:t>$0.5 million</w:t>
      </w:r>
      <w:r>
        <w:rPr/>
        <w:t>.  TURN, at 44.</w:t>
      </w:r>
    </w:p>
    <w:p>
      <w:pPr>
        <w:pStyle w:val="BodyText"/>
        <w:rPr/>
      </w:pPr>
      <w:r>
        <w:rPr/>
        <w:t xml:space="preserve">Similarly, the comprehensive ssettlement reduces core reservation of intrastate transmission capacity from the BCAP level of 1,022 MMcf/d to 1,000 MMcf/d.  Reducing the core’s “standard package” intrastate transportation capacity by 22 MMcf/d saves another </w:t>
      </w:r>
      <w:r>
        <w:rPr>
          <w:b/>
        </w:rPr>
        <w:t>$0.5 million</w:t>
      </w:r>
      <w:r>
        <w:rPr/>
        <w:t xml:space="preserve">.  Ex. 2, Att. 8 (Lorenz).  Thus, with the elimination of 15 bcf of storage inventory capacity, 25.5 MMcf/d of injection capacity, and 22 MMcf/d of transportation capacity from the core’s “standard package,” the Comprehensive Settlement gets </w:t>
      </w:r>
      <w:r>
        <w:rPr>
          <w:b/>
        </w:rPr>
        <w:t>$6.2 million</w:t>
      </w:r>
      <w:r>
        <w:rPr/>
        <w:t xml:space="preserve"> in reduced “standard package” costs to use as an offset against the up to $6.2 million in transportation and Montebello costs that are shifted to the core.</w:t>
      </w:r>
    </w:p>
    <w:p>
      <w:pPr>
        <w:pStyle w:val="BodyText"/>
        <w:rPr/>
      </w:pPr>
      <w:r>
        <w:rPr/>
        <w:t>Of course, the Comprehensive Settlement would take away more than storage inventory capacity, balancing capacity, and transmission capacity from the core.  The Comprehensive Settlement also takes away the benefit of load diversity as a result of moving from system-wide balancing to class-specific balancing for the core and noncore classes.  As a result, the Comprehensive Settlement takes away flexibility to use additional transmission capacity or storage injection capacity when needed.</w:t>
      </w:r>
    </w:p>
    <w:p>
      <w:pPr>
        <w:pStyle w:val="Heading4"/>
        <w:ind w:hanging="0" w:start="0"/>
        <w:rPr/>
      </w:pPr>
      <w:bookmarkStart w:id="18" w:name="__RefHeading___Toc489684582"/>
      <w:bookmarkEnd w:id="18"/>
      <w:r>
        <w:rPr/>
        <w:t>The Lost Assets and Benefits have Value that Would be Costly for the Core to Regain.</w:t>
      </w:r>
    </w:p>
    <w:p>
      <w:pPr>
        <w:pStyle w:val="BodyText"/>
        <w:rPr/>
      </w:pPr>
      <w:r>
        <w:rPr/>
        <w:t>Assets such as the storage inventory capacity, the balancing injection capacity, and the transmission capacity and benefits such as system-wide balancing have value just like the bigger engine, the radio/CD player, the leather seats, and the cruise control have value for an automobile purchaser.  A difference is that the core will have to pay to get back the lost value, whereas the automobile purchaser may only experience a less pleasurable driving experience.  TURN analyzed what it would cost to get back the value of the assets and benefits that would be stripped away from the core by the Comprehensive Settlement.</w:t>
      </w:r>
    </w:p>
    <w:p>
      <w:pPr>
        <w:pStyle w:val="BodyText"/>
        <w:rPr/>
      </w:pPr>
      <w:r>
        <w:rPr/>
        <w:t xml:space="preserve">As TURN explained, in order for the core to get back the benefit of the Comprehensive Settlement's 15 bcf reduction in the core's storage inventory capacity, the core would have to pay </w:t>
      </w:r>
      <w:r>
        <w:rPr>
          <w:b/>
        </w:rPr>
        <w:t xml:space="preserve">$3.2 million </w:t>
      </w:r>
      <w:r>
        <w:rPr/>
        <w:t xml:space="preserve">per year.  TURN, at 45, 67.  Additionally, given that the core would be limited to using only 325 MMcf/d of injection capacity as a result of the elimination of the core's 25.5 MMcf/d share of balancing injection capacity in combination with the adoption of class-by-class rather than system-wide balancing, the core would be required to bear </w:t>
      </w:r>
      <w:r>
        <w:rPr>
          <w:b/>
        </w:rPr>
        <w:t>$5.6 million</w:t>
      </w:r>
      <w:r>
        <w:rPr/>
        <w:t xml:space="preserve"> per year in additional gas costs.  TURN, at 50, 67.  </w:t>
      </w:r>
    </w:p>
    <w:p>
      <w:pPr>
        <w:pStyle w:val="BodyText"/>
        <w:rPr/>
      </w:pPr>
      <w:r>
        <w:rPr/>
        <w:t xml:space="preserve">In order to get additional transmission capacity when more than 1,000 MMcf/d is needed, the core would have to pay another </w:t>
      </w:r>
      <w:r>
        <w:rPr>
          <w:b/>
        </w:rPr>
        <w:t xml:space="preserve">$1.6 million </w:t>
      </w:r>
      <w:r>
        <w:rPr/>
        <w:t xml:space="preserve">per year.  TURN, at 33-34.  In order to get "backbone" capacity that matched the core's reservation of 1,044 MMcf/d of interstate pipeline capacity in the event that CTA penetration remained at the current 5 percent level rather than expanded to the 10 percent level, the core would need to purchase another 114 MMcf/d of additional intrastate capacity.  Conservatively assuming that the purchase would be made only during the winter season, the annual cost would be </w:t>
      </w:r>
      <w:r>
        <w:rPr>
          <w:b/>
        </w:rPr>
        <w:t>$1.8 million</w:t>
      </w:r>
      <w:r>
        <w:rPr/>
        <w:t xml:space="preserve">.  TURN, at 37, 67.  </w:t>
      </w:r>
    </w:p>
    <w:p>
      <w:pPr>
        <w:pStyle w:val="BodyText"/>
        <w:rPr/>
      </w:pPr>
      <w:r>
        <w:rPr/>
        <w:t xml:space="preserve">Thus, the core would be exposed to incurring an additional </w:t>
      </w:r>
      <w:r>
        <w:rPr>
          <w:b/>
        </w:rPr>
        <w:t>$12.2 million</w:t>
      </w:r>
      <w:r>
        <w:rPr/>
        <w:t xml:space="preserve"> in costs for the lost storage inventory capacity, injection capacity, and transmission capacity in combination with the lost benefit of systemwide balancing.  This $12.2 million represents value that the Comprehensive Settlement would strip from the core by depriving the core of assets and by system changes such as moving to class-by-class balancing.  The detriment of this lost value must be added to the $300,000 higher rate that the core would pay under the Comprehensive Settlement in contrast to the Post-Interim Settlement in assessing the Comprehensive Settlement's impact on the core.</w:t>
      </w:r>
    </w:p>
    <w:p>
      <w:pPr>
        <w:pStyle w:val="BodyText"/>
        <w:rPr/>
      </w:pPr>
      <w:r>
        <w:rPr/>
        <w:t xml:space="preserve">Regrettably, the Comprehensive Settlement would inflict even further harm on the core.  For example, the shift to demand charges for "backbone" capacity would drive the core's unit cost of transmission capacity up by 34 percent to 54 percent in comparison to the Comprehensive Settlement quoted rate of $0.072.  TURN, at 32.  Also, there would be an additional cost in that the value of interstate capacity reserved by the core would be likely to be devalued by the Comprehensive Settlement.  TURN, at 38.  </w:t>
      </w:r>
    </w:p>
    <w:p>
      <w:pPr>
        <w:pStyle w:val="BodyText"/>
        <w:rPr/>
      </w:pPr>
      <w:r>
        <w:rPr/>
        <w:t>Where does the core’s lost value go?  In typical cost allocation cases, value lost by one customer class usually goes to some other class.  That is not true here.  The core’s lost value does not go to the noncore.  Instead, it goes directly to SoCalGas and the marketers, storage providers, and CTAs that will provide the replacement services to the core and that, also, have been the driving force behind the Comprehensive Settlement.</w:t>
      </w:r>
    </w:p>
    <w:p>
      <w:pPr>
        <w:pStyle w:val="Heading2"/>
        <w:ind w:hanging="0" w:start="0"/>
        <w:rPr/>
      </w:pPr>
      <w:bookmarkStart w:id="19" w:name="__RefHeading___Toc489684583"/>
      <w:bookmarkEnd w:id="19"/>
      <w:r>
        <w:rPr/>
        <w:t>The Costs of the Comprehensive Settlement Outweigh the Benefits for the Noncore.</w:t>
      </w:r>
    </w:p>
    <w:p>
      <w:pPr>
        <w:pStyle w:val="BodyText"/>
        <w:rPr>
          <w:b/>
        </w:rPr>
      </w:pPr>
      <w:r>
        <w:rPr/>
        <w:t>Under both the Comprehensive Settlement and the Post-Interim Settlement, the core contribution to covering ITCS costs is eliminated, shifting $7.5 million to the noncore and raising noncore rates by approximately $7.4 million, using 2002 as an example.  Ex. 2, Att. 8 (Lorenz).  Insofar as both settlements eliminate the core ITCS contribution, the resulting cost shift can be ignored for purposes of comparing the two settlements.  However, the noncore is adversely impacted by the other elements of the Comprehensive Settlement.  Ultimately, the negative impact of the Comprehensive Settlement on the noncore is worse than the core.</w:t>
      </w:r>
    </w:p>
    <w:p>
      <w:pPr>
        <w:pStyle w:val="Heading3"/>
        <w:ind w:hanging="450" w:start="1170"/>
        <w:rPr/>
      </w:pPr>
      <w:bookmarkStart w:id="20" w:name="__RefHeading___Toc489684584"/>
      <w:bookmarkEnd w:id="20"/>
      <w:r>
        <w:rPr/>
        <w:t>In Addition to Bearing the Reallocation of ITCS Costs, the Noncore Bears up to $7.0 Million to Cover CTA Interstate Capacity Unbundling Costs.</w:t>
      </w:r>
    </w:p>
    <w:p>
      <w:pPr>
        <w:pStyle w:val="BodyText"/>
        <w:rPr/>
      </w:pPr>
      <w:r>
        <w:rPr/>
        <w:t xml:space="preserve">In addition to raising noncore rates by eliminating the core ITCS contribution over a two year period (2000 and 2001), $7.0 million would be shifted to noncore customers under the Comprehensive Settlement to cover the costs of unbundling interstate pipeline capacity for CTAs.  Ex. 1, at 55 (CSA § 5.3.3.4).  </w:t>
      </w:r>
      <w:r>
        <w:fldChar w:fldCharType="begin"/>
      </w:r>
      <w:r>
        <w:rPr>
          <w:b/>
        </w:rPr>
        <w:instrText xml:space="preserve">l "Ex. 1 at 55 CSA § 5.3.3.4" \s "Ex. 1 at 55 CSA § 5.3.3.4" \c 3 </w:instrText>
      </w:r>
      <w:r>
        <w:rPr>
          <w:b/>
        </w:rPr>
      </w:r>
      <w:r>
        <w:rPr>
          <w:b/>
        </w:rPr>
        <w:fldChar w:fldCharType="separate"/>
      </w:r>
      <w:r>
        <w:rPr>
          <w:b/>
        </w:rPr>
        <w:t>Error! Bookmark not defined.</w:t>
      </w:r>
      <w:r>
        <w:rPr>
          <w:b/>
        </w:rPr>
      </w:r>
      <w:r>
        <w:rPr>
          <w:b/>
        </w:rPr>
        <w:fldChar w:fldCharType="end"/>
      </w:r>
      <w:r>
        <w:rPr/>
        <w:t>This two year cost shift is unjustified.  As TURN noted in its Opening Brief, even though TURN does not usually comment adversely on proposals that would shift costs to noncore customers, the shift of up to $7.0 million of stranded costs would occur even though "noncore customers receive no benefits from unbundling core interstate capacity."  TURN, at 18.</w:t>
      </w:r>
    </w:p>
    <w:p>
      <w:pPr>
        <w:pStyle w:val="Heading3"/>
        <w:ind w:hanging="450" w:start="1170"/>
        <w:rPr/>
      </w:pPr>
      <w:bookmarkStart w:id="21" w:name="__RefHeading___Toc489684585"/>
      <w:bookmarkEnd w:id="21"/>
      <w:r>
        <w:rPr/>
        <w:t>The Noncore Would Be Required to Bear Yet Further Costs by the Comprehensive Settlement.</w:t>
      </w:r>
    </w:p>
    <w:p>
      <w:pPr>
        <w:pStyle w:val="BodyText"/>
        <w:rPr/>
      </w:pPr>
      <w:r>
        <w:rPr/>
        <w:t>The noncore would be required to bear yet further and far more significant costs by the Comprehensive Settlement.  In estimating the impact of the Comprehensive Settlement on noncore customers, SoCalGas was able to limit the impact on noncore customers to the shift of core ITCS contribution dollars only by assuming that noncore customers would acquire substantially less “backbone” transmission capacity than their peak needs.  For example, SoCalGas assumed that EG customers would acquire only 750 MMcf/d of "backbone" capacity, less than half of their peak requirements of 1,550 MMcf/d.  Ex. 2, Att. 8 (Lorenz).  Under the Comprehensive Settlement, unlike under the current BCAP methodology or the Post-Interim Settlement, either the customers would have to acquire additional "backbone" capacity to meet their peak requirements, or they would have to run the risk of acquiring additional gas supplies at the downstream citygates to meet peak needs at inflated prices.</w:t>
      </w:r>
    </w:p>
    <w:p>
      <w:pPr>
        <w:pStyle w:val="BodyText"/>
        <w:rPr/>
      </w:pPr>
      <w:r>
        <w:rPr/>
        <w:t xml:space="preserve">Being limited to using a reduced amount of “backbone” transmission capacity represents a loss of value for noncore customers in comparing the Comprehensive Settlement to today's BCAP approach or to the Post-Interim Settlement.  The lost value can be quantified by looking at what the customers would have to spend in order to retrieve the lost value.  If it is conservatively assumed that only EG customers obtained capacity to increase their capacity holdings to meet their peak needs and no other noncore customers obtained any additional capacity, and if it is also conservatively assumed that the EGs acquire the additional capacity on the basis of the 50/50 rate design, the EGs as well as the noncore class as a whole would incur additional demand charges of </w:t>
      </w:r>
      <w:r>
        <w:rPr>
          <w:b/>
        </w:rPr>
        <w:t>$12.62 million</w:t>
      </w:r>
      <w:r>
        <w:rPr/>
        <w:t>.  That omits any amount to reflect the increased cost of citygate purchases that would have to be made by the noncore customers that failed to acquire any additional “backbone” capacity.</w:t>
      </w:r>
    </w:p>
    <w:p>
      <w:pPr>
        <w:pStyle w:val="BodyText"/>
        <w:rPr/>
      </w:pPr>
      <w:r>
        <w:rPr/>
        <w:t xml:space="preserve">Additionally, the Comprehensive Settlement cuts the amount of injection capacity that is available to the noncore class for balancing service from 329.4 MMcf/d to 250 MMcf/d.  With that amount of injection capacity, assuming class-by-class rather than systemwide balancing, the number of over-nomination events declared for noncore customers by SoCalGas, based on 1999 experience, would go from 19 to 86 occurrences, and the average over-nomination volume would go from an average volume of 25,719 dth per event to 134,284 dth per event.  SCGC, at 76.  If noncore customers wanted to cut OFO events from 86 per year to 35, an average of 3 events per month, still approximately twice the 1999 rate of occurrence, they would need to acquire 200 MMcf/d of additional injection capacity to raise their available capacity to 450 MMcf/d.  The cost of the additional capacity, assuming that it were bought by acquiring the standard "package" that would be made available under the Comprehensive Settlement, Ex. 1, at 32 (CSA §2.1.3.4), would be </w:t>
      </w:r>
      <w:r>
        <w:rPr>
          <w:b/>
        </w:rPr>
        <w:t>$17.84 million</w:t>
      </w:r>
      <w:r>
        <w:rPr/>
        <w:t>.</w:t>
      </w:r>
    </w:p>
    <w:p>
      <w:pPr>
        <w:pStyle w:val="BodyText"/>
        <w:rPr/>
      </w:pPr>
      <w:r>
        <w:rPr/>
        <w:t xml:space="preserve">Thus, in order to get back just some of the value lost as a result being limited to reduced levels of transmission and injection capacity, noncore customers would have to pay $12.62 million plus $17.84 million for a total of </w:t>
      </w:r>
      <w:r>
        <w:rPr>
          <w:b/>
        </w:rPr>
        <w:t>$30.46 million</w:t>
      </w:r>
      <w:r>
        <w:rPr/>
        <w:t xml:space="preserve"> more than they would bear under the Post-Interim Settlement.  When lost value is considered, the Comprehensive Settlement does not only result in a rate increase to reflect the impact of eliminating the core ITCS contribution.  It results in a further cost increase that can be conservatively estimated to be more than $30 million per year, plus up to an additional $7 million over two years to cover CTA interstate capacity unbundling costs.</w:t>
      </w:r>
    </w:p>
    <w:p>
      <w:pPr>
        <w:pStyle w:val="BodyText"/>
        <w:rPr/>
      </w:pPr>
      <w:r>
        <w:rPr/>
        <w:t>As with the value lost by the core as a result of the Comprehensive Settlement, the question must be asked, where does the noncore's lost value go?  The value clearly does not migrate to the core.  Instead, as with the core's lost value, it goes to SoCalGas and the marketers, storage providers, and CTAs which support the Comprehensive Settlement.</w:t>
      </w:r>
    </w:p>
    <w:p>
      <w:pPr>
        <w:pStyle w:val="Heading1"/>
        <w:ind w:hanging="0" w:start="0"/>
        <w:rPr>
          <w:u w:val="none"/>
        </w:rPr>
      </w:pPr>
      <w:bookmarkStart w:id="22" w:name="__RefHeading___Toc489684586"/>
      <w:bookmarkEnd w:id="22"/>
      <w:r>
        <w:rPr/>
        <w:t>THE COST OF UNBUNDLING SOCALGAS RECEIPT POINT AND "BACKBONE" TRANSMISSION CAPACITY OUTWEIGHS THE BENEFITS AND SHOULD BE REJECTED</w:t>
      </w:r>
      <w:r>
        <w:rPr>
          <w:u w:val="none"/>
        </w:rPr>
        <w:t>.</w:t>
      </w:r>
    </w:p>
    <w:p>
      <w:pPr>
        <w:pStyle w:val="BodyText"/>
        <w:rPr/>
      </w:pPr>
      <w:r>
        <w:rPr/>
        <w:t>In its Opening Brief, SCGC opposed unbundling SoCalGas' receipt point and "backbone" transmission facilities.  SCGC showed that unbundling would create market opportunities for marketers but would raise costs and threaten reliability for customers.  SoCalGas' "backbone" transmission capacity is a bottleneck because it has a lower slack factor than the upstream pipelines.  As a result, unbundling the "backbone" capacity would give third parties an opportunity to seize control over essential facilities that could be exploited without regulatory constraint, with customers being deprived of the opportunity to get the capacity they need to assure reliable and economic gas transmission service.  Additionally, unbundling would inevitably result in demand charges which could raise unit costs for lower load factor customers, core and noncore alike, and result in a price squeeze on electric generators.  Customers would see their flexibility to use transmission capacity reduced, thereby raising core costs.  In opening briefs, a number of parties commented on these reasons for opposing "backbone" unbundling.  Some of those comments and SCGC's replies are as follows:</w:t>
      </w:r>
    </w:p>
    <w:p>
      <w:pPr>
        <w:pStyle w:val="Heading2"/>
        <w:ind w:hanging="0" w:start="0"/>
        <w:rPr/>
      </w:pPr>
      <w:bookmarkStart w:id="23" w:name="__RefHeading___Toc489684587"/>
      <w:bookmarkEnd w:id="23"/>
      <w:r>
        <w:rPr/>
        <w:t>Unbundling "Backbone" Transmission Capacity is Inappropriate for a Grid System in Which Gas Flows Bi-directionally.</w:t>
      </w:r>
    </w:p>
    <w:p>
      <w:pPr>
        <w:pStyle w:val="BodyText"/>
        <w:rPr/>
      </w:pPr>
      <w:r>
        <w:rPr/>
        <w:t>A number of parties contend that the SoCalGas system is enough like the PG&amp;E system that it makes sense to unbundle SoCalGas transmission facilities as "backbone" pipelines.  ORA, for example, contends: "The two systems differ only in the length and number of spokes (SoCalGas' are shorter and more numerous)."  ORA, at 16.  To the contrary, however, SoCalGas has only two lines that can be seen as being "spokes" that are like PG&amp;E's Lines 300, 400, or 401.  These are the lines from Topock and Needles to Newberry and from Ehrenburg to Moreno.  Ex. 2, Att. 4.  Beyond those lines, the transmission lines that SoCalGas would designate as "backbone" lie within the SoCalGas matrix of transmission lines that forms a grid with gas flowing bi-directionally.</w:t>
      </w:r>
    </w:p>
    <w:p>
      <w:pPr>
        <w:pStyle w:val="BodyText"/>
        <w:rPr/>
      </w:pPr>
      <w:r>
        <w:rPr/>
        <w:t>SoCalGas makes a different argument.  SoCalGas contends that its transmission lines should not be deemed to be ineligible to be unbundled as "backbone" lines because that "would prevent the establishment for SoCalGas of a workable system of firm, intrastate transmission capacity rights . . . ."  SoCalGas, at 11.  Effectively, SoCalGas is admitting that SCGC is correct:  operationally, SoCalGas' "backbone" facilities, with the exceptions of the lines east of Newberry and Moreno, are part of a grid and not appropriate for designation as being "backbone" lines.  SoCalGas is effectively saying that operational characteristics should be ignored in identifying whether transmission lines are "backbone" or not in order to satisfy a regulatory objective.  SCGC disagrees.  The regulatory framework should fit the operational reality of the system rather than ignore it.</w:t>
      </w:r>
    </w:p>
    <w:p>
      <w:pPr>
        <w:pStyle w:val="Heading2"/>
        <w:ind w:hanging="0" w:start="0"/>
        <w:rPr/>
      </w:pPr>
      <w:bookmarkStart w:id="24" w:name="__RefHeading___Toc489684588"/>
      <w:bookmarkEnd w:id="24"/>
      <w:r>
        <w:rPr/>
        <w:t>Unbundling “Backbone” Capacity that Has a Lower Slack Factor than the Upstream Delivering Pipelines Exposes Customers to the Risk of Higher Gas Prices at the New Downstream Citygates.</w:t>
      </w:r>
    </w:p>
    <w:p>
      <w:pPr>
        <w:pStyle w:val="BodyText"/>
        <w:rPr/>
      </w:pPr>
      <w:r>
        <w:rPr/>
        <w:t>In its Opening Brief, SCGC expressed the concern that unbundling "backbone" capacity that has a lower slack factor than the upstream pipelines that deliver gas to SoCalGas may expose customers to the risk of having to absorb higher gas prices at the new downstream citygates.  The primary response by several parties was that the experience with unbundling backbone transmission on the PG&amp;E system under the Gas Accord shows that customers will benefit from the creation of a competitive citygate market.  IEG, at 10; Enron, at 7; ORA, at 11.</w:t>
      </w:r>
    </w:p>
    <w:p>
      <w:pPr>
        <w:pStyle w:val="Heading3"/>
        <w:ind w:hanging="450" w:start="1170"/>
        <w:rPr/>
      </w:pPr>
      <w:bookmarkStart w:id="25" w:name="__RefHeading___Toc489684589"/>
      <w:bookmarkEnd w:id="25"/>
      <w:r>
        <w:rPr/>
        <w:t>The PG&amp;E Experience with Citygate Prices Does Not Show that Citygate Prices Are Below Border Prices plus Transportation Costs.</w:t>
      </w:r>
    </w:p>
    <w:p>
      <w:pPr>
        <w:pStyle w:val="BodyText"/>
        <w:rPr/>
      </w:pPr>
      <w:r>
        <w:rPr/>
        <w:t>In general, the parties that contend that downstream citygates result in lower prices for consumers rely on the testimony of witness Beach.  Mr. Beach testified very carefully and narrowly as follows:</w:t>
      </w:r>
    </w:p>
    <w:p>
      <w:pPr>
        <w:pStyle w:val="Quote"/>
        <w:rPr/>
      </w:pPr>
      <w:r>
        <w:rPr/>
        <w:t xml:space="preserve">[Over] the past two years PG&amp;E citygate prices have averaged $0.03 and $0.08 per dth lower than the other options of border purchases at </w:t>
      </w:r>
      <w:r>
        <w:rPr>
          <w:u w:val="single"/>
        </w:rPr>
        <w:t>Malin</w:t>
      </w:r>
      <w:r>
        <w:rPr/>
        <w:t xml:space="preserve"> and </w:t>
      </w:r>
      <w:r>
        <w:rPr>
          <w:u w:val="single"/>
        </w:rPr>
        <w:t>Topock</w:t>
      </w:r>
      <w:r>
        <w:rPr/>
        <w:t xml:space="preserve">, respectively, </w:t>
      </w:r>
      <w:r>
        <w:rPr>
          <w:u w:val="single"/>
        </w:rPr>
        <w:t>plus as-available transportation</w:t>
      </w:r>
      <w:r>
        <w:rPr/>
        <w:t xml:space="preserve"> to the citygate.  PG&amp;E citygates [sic] prices have also been $0.05 per dth lower than Topock's prices </w:t>
      </w:r>
      <w:r>
        <w:rPr>
          <w:u w:val="single"/>
        </w:rPr>
        <w:t>plus the firm transportation rate</w:t>
      </w:r>
      <w:r>
        <w:rPr/>
        <w:t xml:space="preserve"> to the citygate on PG&amp;E's Baja path.</w:t>
      </w:r>
    </w:p>
    <w:p>
      <w:pPr>
        <w:pStyle w:val="BodyTextNoIndent"/>
        <w:rPr/>
      </w:pPr>
      <w:r>
        <w:rPr/>
        <w:t xml:space="preserve">Ex. 5 at 5 (Beach) (emphasis added).  Mr. Beach carefully avoided any discussion of citygate prices for gas purchased at </w:t>
      </w:r>
      <w:r>
        <w:rPr>
          <w:u w:val="single"/>
        </w:rPr>
        <w:t>Malin</w:t>
      </w:r>
      <w:r>
        <w:rPr/>
        <w:t xml:space="preserve"> and transported at PG&amp;E's </w:t>
      </w:r>
      <w:r>
        <w:rPr>
          <w:u w:val="single"/>
        </w:rPr>
        <w:t>firm transportation rate</w:t>
      </w:r>
      <w:r>
        <w:rPr/>
        <w:t>.  This is significant.  Sixty-five percent of the flow on the PG&amp;E system is from Malin on the PG&amp;E "Redwood" path, which is fully subscribed on a firm basis.  PG&amp;E Market Assessment Report, A.96-08-043, at 3-3 (April 28, 1999).</w:t>
      </w:r>
    </w:p>
    <w:p>
      <w:pPr>
        <w:pStyle w:val="BodyText"/>
        <w:rPr/>
      </w:pPr>
      <w:r>
        <w:rPr/>
        <w:t xml:space="preserve">The reason for Mr. Beach's omission is that the price of border purchases at Malin plus firm transportation from Malin was </w:t>
      </w:r>
      <w:r>
        <w:rPr>
          <w:u w:val="single"/>
        </w:rPr>
        <w:t>less</w:t>
      </w:r>
      <w:r>
        <w:rPr/>
        <w:t xml:space="preserve"> than the PG&amp;E citygate price for the two years that Mr. Beach studied.</w:t>
      </w:r>
    </w:p>
    <w:p>
      <w:pPr>
        <w:pStyle w:val="BodyText"/>
        <w:rPr/>
      </w:pPr>
      <w:r>
        <w:rPr/>
        <w:t xml:space="preserve">Thus, the PG&amp;E experience fails to show that citygate prices are below border prices plus transportation costs.  Citygate prices, on average, have been above the Malin price plus the cost of firm transportation.  Because of the high volume that flows from Malin utilizing firm transportation, this is the primary indicator of how PG&amp;E citygate prices compare to border prices plus transportation costs.  </w:t>
      </w:r>
    </w:p>
    <w:p>
      <w:pPr>
        <w:pStyle w:val="BodyText"/>
        <w:rPr/>
      </w:pPr>
      <w:r>
        <w:rPr/>
        <w:t xml:space="preserve">It does seem that PG&amp;E citygate prices, at times, have been below firm transportation plus Topock prices and below as-available transportation plus Malin and Topock prices.  This is understandable, given that Topock gas prices are generally higher than Malin gas prices, and given that PG&amp;E's interruptible rate is 120 percent of the firm rate.  D.97-08-055, slip op., App. B, at 75.  It seems that in order to compete with Malin plus firm at the PG&amp;E citygate, Topock plus firm and Malin and Topock plus interruptible apparently must sell, at least from time-to-time, below cost.  </w:t>
      </w:r>
    </w:p>
    <w:p>
      <w:pPr>
        <w:pStyle w:val="BodyText"/>
        <w:rPr/>
      </w:pPr>
      <w:r>
        <w:rPr/>
        <w:t>SoCalGas does not experience price differentials at border delivery points as does PG&amp;E at Malin and Topock.  Thus, on PG&amp;E the low price of gas at one border delivery point (Malin) plus firm may drive down somewhat the citygate price associated with gas delivered into the system at a higher priced border delivery point (Topock) or gas delivered through interruptible capacity, but it is unlikely that there would be a parallel experience on the SoCalGas system.</w:t>
      </w:r>
    </w:p>
    <w:p>
      <w:pPr>
        <w:pStyle w:val="BodyText"/>
        <w:rPr/>
      </w:pPr>
      <w:r>
        <w:rPr/>
        <w:t>The difference between SoCalGas' load factor and PG&amp;E's exceptionally low on-system load factors also makes it unlikely that SoCalGas would replicate PG&amp;E's experience with citygate prices sometimes being lower than border gas prices plus transportation.  PG&amp;E's load factor for on-system deliveries is 67.5 percent for the last five years (1994 through 1998).  California Gas Report, at 21 (1999).  By contrast, SoCalGas' load factor is 78 percent.  Ex. 108, Response 10.</w:t>
      </w:r>
    </w:p>
    <w:p>
      <w:pPr>
        <w:pStyle w:val="Heading3"/>
        <w:ind w:hanging="450" w:start="1170"/>
        <w:rPr/>
      </w:pPr>
      <w:bookmarkStart w:id="26" w:name="__RefHeading___Toc489684590"/>
      <w:bookmarkEnd w:id="26"/>
      <w:r>
        <w:rPr/>
        <w:t>The Experience of PG&amp;E and DGS Shows that the PG&amp;E Citygate Fails to Provide Gas at a Price Below Border Prices plus Transportation Costs.</w:t>
      </w:r>
    </w:p>
    <w:p>
      <w:pPr>
        <w:pStyle w:val="BodyText"/>
        <w:rPr/>
      </w:pPr>
      <w:r>
        <w:rPr/>
        <w:t>The actual experience of DGS and PG&amp;E with the citygates on the PG&amp;E system indicates that the downstream PG&amp;E citygate market, in fact, generally fails to deliver gas to customers at a discount from border prices plus transportation costs.  DGS appended to its brief a table showing that DGS has saved approximately $460,000 from March, 1998 through June, 2000 as a result of holding firm capacity on PG&amp;E's Redwood path to Malin, based upon a comparison of PG&amp;E citygate prices to DGS's actually experienced transportation costs plus the Malin gas price.  DGS, at 7, Ex. A.</w:t>
      </w:r>
    </w:p>
    <w:p>
      <w:pPr>
        <w:pStyle w:val="BodyText"/>
        <w:rPr/>
      </w:pPr>
      <w:r>
        <w:rPr/>
        <w:t xml:space="preserve">PG&amp;E's experience with citygate prices corroborates the DGS experience.  As SCGC noted in its Opening Brief, at 25-26, PG&amp;E has proposed in its recent BCAP application to increase the core's reservation of Baja capacity, stating:  "Without additional firm Baja capacity, core customers would have to compete with other segments of the market such as electric generators and noncore customers for scarce and potentially high-priced citygate supplies."  A.00-04-002, at 4-3 (April 3, 2000).  "The additional Baja capacity will reduce core customers' reliance on high-priced citygate purchases . . . ."  </w:t>
      </w:r>
      <w:r>
        <w:rPr>
          <w:i/>
        </w:rPr>
        <w:t>Ibid</w:t>
      </w:r>
      <w:r>
        <w:rPr/>
        <w:t xml:space="preserve">, at 4-6.  </w:t>
      </w:r>
    </w:p>
    <w:p>
      <w:pPr>
        <w:pStyle w:val="BodyText"/>
        <w:rPr/>
      </w:pPr>
      <w:r>
        <w:rPr/>
        <w:t>It is certainly incorrect to conclude categorically, as does ORA, that the Gas Accord has led to "the development of a robust citygate market in which the costs at the citygate are actually lower than the alternative of purchasing gas at the border and paying to transport it to the citygate."  ORA, at 18.  Likewise, it cannot be contended categorically that "on average, citygate prices have provided significant benefits to end-users on the PG&amp;E system."  ORA, at 24.</w:t>
      </w:r>
    </w:p>
    <w:p>
      <w:pPr>
        <w:pStyle w:val="Heading3"/>
        <w:ind w:hanging="450" w:start="1170"/>
        <w:rPr/>
      </w:pPr>
      <w:bookmarkStart w:id="27" w:name="__RefHeading___Toc489684591"/>
      <w:bookmarkEnd w:id="27"/>
      <w:r>
        <w:rPr/>
        <w:t>It Makes Little Sense to assume that Marketers Will Sell for Less than the Cost of the Gas plus Transportation.</w:t>
      </w:r>
    </w:p>
    <w:p>
      <w:pPr>
        <w:pStyle w:val="BodyText"/>
        <w:rPr/>
      </w:pPr>
      <w:r>
        <w:rPr/>
        <w:t>A likely reason why PG&amp;E citygate prices are not more generally lower than border prices plus transportation costs is that it does not make economic sense for the citygate prices to be lower.  The theory that marketers "will buy the firm SoCalGas capacity and then sell gas to customers at the citygate and that this will result in savings to customers . . . makes little sense . . . ."  DGS, at 6-7.  The reason that it makes little sense is that it relies on what Long Beach calls "chain letter economics."  Long Beach, at 12.  The theory that marketers will buy at upstream receipt points and sell at downstream citygates for less than the cost of the gas plus transportation "depends on someone else losing money, so that others can make money.  Unfortunately no one has volunteered to first lose the money.  The citygate market theory assumes that parties that will reserve capacity of the straight fixed-variable rate will resell that capacity at a discount."  Long Beach, at 12.</w:t>
      </w:r>
    </w:p>
    <w:p>
      <w:pPr>
        <w:pStyle w:val="Heading2"/>
        <w:ind w:hanging="0" w:start="0"/>
        <w:rPr/>
      </w:pPr>
      <w:bookmarkStart w:id="28" w:name="__RefHeading___Toc489684592"/>
      <w:bookmarkEnd w:id="28"/>
      <w:r>
        <w:rPr/>
        <w:t>SoCalGas' "Backbone" Facilities Are a Bottleneck that Exposes Customers to the Risk of Higher Gas Prices at the New Downstream Citygates.</w:t>
      </w:r>
    </w:p>
    <w:p>
      <w:pPr>
        <w:pStyle w:val="BodyText"/>
        <w:rPr/>
      </w:pPr>
      <w:r>
        <w:rPr/>
        <w:t xml:space="preserve">Several parties try to argue that the SoCalGas downstream transmission capacity does not constitute a bottleneck that could expose customers to high gas prices at the new downstream citygates.  SoCalGas argues that it has a lower load factor under the Comprehensive Settlement (79 percent) than PG&amp;E does under the Gas Accord (87.5 percent).  SoCalGas, at 28.  The capacity factor cited by SoCalGas, however, is a negotiated capacity factor that, according to the Gas Accord, is to be used for calculating firm annual on-system backbone transmission charges.  D.97-08-055, slip op., App. B, at 39; 73 CPUC 2d, at 821.  In fact, PG&amp;E's system-wide load factor is lower, and the load factor for on-system deliveries, which is the relevant load factor for the downstream citygates, is 67 percent.  California Gas Report, at 21 (1999).  </w:t>
      </w:r>
    </w:p>
    <w:p>
      <w:pPr>
        <w:pStyle w:val="BodyText"/>
        <w:rPr/>
      </w:pPr>
      <w:r>
        <w:rPr/>
        <w:t xml:space="preserve">ORA contends that there can only be a "bottleneck" if unbundling "backbone" transmission results in citygate prices that are higher than upstream prices plus "backbone" transmission costs.  ORA contends that insofar as PG&amp;E citygate prices have provided "significant benefits to end-users," with the exception of "one brief price spike due to cold weather," unbundling "backbone" transmission capacity does not result in the creation of a bottleneck.  However, as discussed above, PG&amp;E's experience with citygate prices has been contrary to what ORA makes it out to be.  </w:t>
      </w:r>
    </w:p>
    <w:p>
      <w:pPr>
        <w:pStyle w:val="BodyText"/>
        <w:rPr/>
      </w:pPr>
      <w:r>
        <w:rPr/>
        <w:t>SoCalGas argues that storage alleviates any bottleneck.  SoCalGas, at 29.  However, storage is no substitute for flowing supply.  It is an exhausting resource.  SoCalGas has 3,125 MMcf/d of withdrawal capacity, 1,935 MMcf/d of which is dedicated to the core.  Ex. 1, at 30.  That leaves 1,190 for noncore storage and balancing.  LADWP, alone, has a peak in excess of 500 MMcf/d.  Ex. 25.  Thus, after the core's reservation is subtracted, SoCalGas only has enough withdrawal capacity for two LADWPs.  Furthermore, if LADWP took 10 percent of SoCalGas' inventory capacity of 105 bcf, an unlikely event, that inventory capacity could supply LADWP for only twenty days, assuming withdrawal capacity were available.  Thus, at some point, flowing supply utilizing the SoCalGas "backbone" transmission facilities must be utilized.  Tr. 731 (Lorenz).</w:t>
      </w:r>
    </w:p>
    <w:p>
      <w:pPr>
        <w:pStyle w:val="Heading2"/>
        <w:ind w:hanging="0" w:start="0"/>
        <w:rPr/>
      </w:pPr>
      <w:bookmarkStart w:id="29" w:name="__RefHeading___Toc489684593"/>
      <w:bookmarkEnd w:id="29"/>
      <w:r>
        <w:rPr/>
        <w:t>Unbundling "Backbone" Transmission Capacity Results in the Imposition of Demand Charges Which Drives Up Unit Costs for Low Load Factor Customers and Imposes a Price Squeeze on Electric Generators.</w:t>
      </w:r>
    </w:p>
    <w:p>
      <w:pPr>
        <w:pStyle w:val="BodyText"/>
        <w:rPr/>
      </w:pPr>
      <w:r>
        <w:rPr/>
        <w:t>SCGC presented testimony showing that demand charges dramatically increase the unit cost of gas transmission service for low load factor customers.  This could result in a price squeeze for EG customers.  Ex. 101, at 18-21.</w:t>
      </w:r>
    </w:p>
    <w:p>
      <w:pPr>
        <w:pStyle w:val="Heading3"/>
        <w:ind w:hanging="450" w:start="1170"/>
        <w:rPr/>
      </w:pPr>
      <w:bookmarkStart w:id="30" w:name="__RefHeading___Toc489684594"/>
      <w:bookmarkEnd w:id="30"/>
      <w:r>
        <w:rPr/>
        <w:t>Although Transmission Demand Charges May Be Low in Relation to Today's High Gas Supply Prices, They Have a Large Dollar Impact.</w:t>
      </w:r>
    </w:p>
    <w:p>
      <w:pPr>
        <w:pStyle w:val="BodyText"/>
        <w:rPr/>
      </w:pPr>
      <w:r>
        <w:rPr/>
        <w:t xml:space="preserve">SoCalGas responds to SCGC's testimony by arguing that if EG customers opted to pay the 50/50 reservation charge of 3.8 cents per dth, given current high border prices, only approximately 1 percent of the delivered cost of gas would be moved from a volumetric charge into a fixed charge for EG customers.  SoCalGas, at 27.  </w:t>
      </w:r>
    </w:p>
    <w:p>
      <w:pPr>
        <w:pStyle w:val="BodyText"/>
        <w:rPr/>
      </w:pPr>
      <w:r>
        <w:rPr/>
        <w:t>SCGC as well as other customers strongly disagree with SoCalGas' attempt to trivialize the demand charge issue.  Southwest Gas, at 4; Long Beach, at 14.  Given today's high cost of gas supply, any change in CPUC-jurisdictional transmission rates is inevitably going to affect a small percentage of the total delivered cost of gas at the burner tip.  That does not negate the importance of this Commission's decisions about gas transmission rates, nor does it negate the economic impact.  For LADWP, for example, the demand charge that SoCalGas sees as being trivial could result in an annual cost over $7 million per year assuming the reservation of nearly enough to meet LADWP’s recently experienced peak demand.  Ex. 25.  Of course, if LADWP opted to pay the 7.2 cents per dth SFV reservation charge under the Comprehensive Settlement, the cost would be nearly doubled.</w:t>
      </w:r>
      <w:bookmarkStart w:id="31" w:name="jj"/>
      <w:bookmarkEnd w:id="31"/>
    </w:p>
    <w:p>
      <w:pPr>
        <w:pStyle w:val="BodyText"/>
        <w:rPr/>
      </w:pPr>
      <w:r>
        <w:rPr/>
        <w:t>Also, SoCalGas also ignores the potential multiplier effect that demand charges can have on effective unit costs for low load factor customers that could treble the impact of the demand charge on LADWP.  Likewise, SoCalGas ignores the price squeeze effect that higher unit costs combined with lower variable costs can have for electric generators.  Ex. 102, at 21 (Yap).  These factors accentuate the adverse economic impact of demand charges.</w:t>
      </w:r>
    </w:p>
    <w:p>
      <w:pPr>
        <w:pStyle w:val="Heading3"/>
        <w:ind w:hanging="450" w:start="1170"/>
        <w:rPr/>
      </w:pPr>
      <w:bookmarkStart w:id="32" w:name="__RefHeading___Toc489684595"/>
      <w:bookmarkEnd w:id="32"/>
      <w:r>
        <w:rPr/>
        <w:t>Brokering Does Not Eliminate the Adverse Impact of Demand Charges.</w:t>
      </w:r>
    </w:p>
    <w:p>
      <w:pPr>
        <w:pStyle w:val="BodyText"/>
        <w:rPr/>
      </w:pPr>
      <w:r>
        <w:rPr/>
        <w:t>SoCalGas argues, further, that brokering unneeded capacity can be the answer to paying demand charges on excess capacity for low load factor customers.  However, in its Opening Brief, SCGC presented scenarios which show that it would be difficult to lay off excess capacity in the secondary market.  SCGC, at 49-51; Ex. 102, at 24 (Yap).</w:t>
      </w:r>
    </w:p>
    <w:p>
      <w:pPr>
        <w:pStyle w:val="BodyText"/>
        <w:rPr/>
      </w:pPr>
      <w:r>
        <w:rPr/>
        <w:t>In any event, SoCalGas' own scenarios still show an adverse impact of demand charges on low load factor customers even if they are relatively successful in brokering excess capacity.  SoCalGas presents a hypothetical, for example, in which low load factor customers broker unneeded capacity, albeit at a 20 percent discount, resulting in an increase in the unit cost of backbone transmission from 7.2 cents per dth to 10.8 cents per dth.  This represents an effective increase in SoCalGas' total transportation rate of 3.6 cents, from 34 cents per dth to 37.6 cents per dth for EG customers.  SoCalGas, at 31.</w:t>
      </w:r>
    </w:p>
    <w:p>
      <w:pPr>
        <w:pStyle w:val="BodyText"/>
        <w:rPr/>
      </w:pPr>
      <w:r>
        <w:rPr/>
        <w:t xml:space="preserve">This 3.6-cent increase is significant.  To put it in perspective, it is roughly the same as the impact of the "Sempra-wide" EG rate which was adopted in D.00-04-060.  The 3.05 cent per dth Sempra-wide rate shifts approximately $9 million to SoCalGas EG customers from SDG&amp;E EG customers.  D.00-04-060, Table 4.  The Sempra-wide rate issue has been hotly contested.  Now, upon the denial of rehearing in D.00-07-055 (July 20, 2000), the issue is headed to the California Court of Appeals for review.  Amounts which seem small in unit terms can turn into substantial dollars and significant controversies.  That is the case here, even under SoCalGas' favorable assumptions, just as it is with the "Sempra-wide" rate.  </w:t>
      </w:r>
    </w:p>
    <w:p>
      <w:pPr>
        <w:pStyle w:val="Heading3"/>
        <w:ind w:hanging="450" w:start="1170"/>
        <w:rPr/>
      </w:pPr>
      <w:bookmarkStart w:id="33" w:name="__RefHeading___Toc489684596"/>
      <w:bookmarkEnd w:id="33"/>
      <w:r>
        <w:rPr/>
        <w:t>Low Load Factor Customers Consistently Strive to Mitigate or Avoid Demand Charges.</w:t>
      </w:r>
    </w:p>
    <w:p>
      <w:pPr>
        <w:pStyle w:val="BodyText"/>
        <w:rPr/>
      </w:pPr>
      <w:r>
        <w:rPr/>
        <w:t xml:space="preserve">Both SoCalGas (at 32) and WGSI/Enron (at 4, 31) argue that low load factor EGs actually do not mind demand charges.  They point out that LADWP holds capacity on interstate pipelines equivalent to about one-third of its peak day needs.  Likewise, they argue that Glendale, Burbank, and Pasadena hold capacity equivalent to 57 percent, 69 percent, and 56 percent respectively of their peak day needs.  SoCalGas, at 32.  </w:t>
      </w:r>
    </w:p>
    <w:p>
      <w:pPr>
        <w:pStyle w:val="BodyText"/>
        <w:rPr/>
      </w:pPr>
      <w:r>
        <w:rPr/>
        <w:t xml:space="preserve">In fact, low load factor customers such as LADWP Burbank, Glendale, and Pasadena </w:t>
      </w:r>
      <w:r>
        <w:rPr>
          <w:u w:val="single"/>
        </w:rPr>
        <w:t>do</w:t>
      </w:r>
      <w:r>
        <w:rPr/>
        <w:t xml:space="preserve"> mind demand charges, and they make every effort to minimize and mitigate them if they are unable to avoid them altogether.  Without exception, LADWP, Burbank, Glendale, and Pasadena contracted for their intrastate pipeline capacity in the early 1990s in response to the curtailments of the late 1980s.  The capacity is held either on pipelines that went into operation in 1992 (Kern River, Mojave, and the El Paso Expansion Project) or 1993 (the PG&amp;E/PGT Expansion Project.)  Ex. 25.  </w:t>
      </w:r>
    </w:p>
    <w:p>
      <w:pPr>
        <w:pStyle w:val="BodyText"/>
        <w:rPr/>
      </w:pPr>
      <w:r>
        <w:rPr/>
        <w:t>Subsequently, LADWP and the cities have taken every opportunity to reduce the demand charge burden.  Burbank recently agreed to pay approximately $1.8 million to extinguish its agreement to pay SFV demand charges to PG&amp;E for Expansion Project capacity.  Thus, Burbank is shown on Exhibit 25 as holding no capacity on PG&amp;E, although it continues to hold 4,800 MMBtus of capacity on PGT.</w:t>
      </w:r>
    </w:p>
    <w:p>
      <w:pPr>
        <w:pStyle w:val="BodyText"/>
        <w:rPr/>
      </w:pPr>
      <w:r>
        <w:rPr/>
        <w:t xml:space="preserve">Glendale has entered into an agreement with PG&amp;E to acquire an undivided interest in the PG&amp;E Expansion Project , thereby extinguishing Glendale's obligation to pay demand charges.  A.00-01-009 (January 17, 2000).  Application 00-01-009 notes that the proposed conversion to an undivided interest "will benefit Glendale's residents and ratepayers by providing transmission capacity at the lowest possible transportation costs . . ." insofar as "Glendale will generally be able to own facilities for less than it costs to 'rent' them."  </w:t>
      </w:r>
      <w:r>
        <w:rPr>
          <w:i/>
        </w:rPr>
        <w:t>Ibid,</w:t>
      </w:r>
      <w:r>
        <w:rPr/>
        <w:t xml:space="preserve"> at 10.</w:t>
      </w:r>
    </w:p>
    <w:p>
      <w:pPr>
        <w:pStyle w:val="BodyText"/>
        <w:rPr/>
      </w:pPr>
      <w:r>
        <w:rPr/>
        <w:t xml:space="preserve">LADWP has also made every effort to reduce demand charges under the contracts that it entered into in the early 1990s.  Recently, LADWP agreed to a settlement that would permit Kern River to extend the term of LADWP's contract so as to extend the depreciation period for Kern River facilities, thereby reducing Kern River's demand charge by close to a third.  </w:t>
      </w:r>
      <w:r>
        <w:rPr>
          <w:u w:val="single"/>
        </w:rPr>
        <w:t>Kern River Gas Transmission Company</w:t>
      </w:r>
      <w:r>
        <w:rPr/>
        <w:t>, Notice of Proposed Changes in FERC Gas Tariff, Docket No. RP00-298-000 (May 26, 2000).</w:t>
      </w:r>
    </w:p>
    <w:p>
      <w:pPr>
        <w:pStyle w:val="BodyText"/>
        <w:rPr/>
      </w:pPr>
      <w:r>
        <w:rPr/>
        <w:t>Thus, while it is certainly the case that LADWP, Burbank, Glendale, and Pasadena entered into contracts with upstream pipelines that provide for demand charges in order to address the reliability problems that existed a decade ago, they have been diligent in their efforts to avoid the adverse impacts of demand charges.</w:t>
      </w:r>
    </w:p>
    <w:p>
      <w:pPr>
        <w:pStyle w:val="Heading2"/>
        <w:ind w:hanging="0" w:start="0"/>
        <w:rPr/>
      </w:pPr>
      <w:bookmarkStart w:id="34" w:name="__RefHeading___Toc489684597"/>
      <w:bookmarkEnd w:id="34"/>
      <w:r>
        <w:rPr/>
        <w:t>The Comprehensive Settlement Establishes Anti-competitive Barriers to Entry by Establishing Set-Aside and Open Season Procedures Favoring Existing Producers, CTAs, and Noncore Customers over Newcomers.</w:t>
      </w:r>
    </w:p>
    <w:p>
      <w:pPr>
        <w:pStyle w:val="BodyText"/>
        <w:rPr/>
      </w:pPr>
      <w:r>
        <w:rPr/>
        <w:t xml:space="preserve">The Indicated Producers tout the fact that the Comprehensive Settlement is structured so that "no market participant is excluded" from obtaining "backbone" capacity.  Indicated Producers, at 10.  However, the Indicated Producers have participated in the development of a settlement that will pose an explicit barrier to entry by new producers that might challenge the incumbents that are participating in this proceeding.  </w:t>
      </w:r>
    </w:p>
    <w:p>
      <w:pPr>
        <w:pStyle w:val="BodyText"/>
        <w:rPr/>
      </w:pPr>
      <w:r>
        <w:rPr/>
        <w:t xml:space="preserve">The Comprehensive Settlement which has been negotiated by the Indicated Producers provides for "special rights for </w:t>
      </w:r>
      <w:r>
        <w:rPr>
          <w:u w:val="single"/>
        </w:rPr>
        <w:t>existing</w:t>
      </w:r>
      <w:r>
        <w:rPr/>
        <w:t xml:space="preserve"> on-system California gas producers to obtain backbone transmission rights for Line 85 and North Coastal receipt points . . . ."  Ex. 1, at 15 (CSA § 1.1.3.6)</w:t>
      </w:r>
      <w:r>
        <w:fldChar w:fldCharType="begin"/>
      </w:r>
      <w:r>
        <w:rPr>
          <w:b/>
        </w:rPr>
        <w:instrText xml:space="preserve"> l "Ex. 1, at 15 CSA § 1.1.3.6" \s "Ex. 1, at 15 CSA § 1.1.3.6" \c 3 </w:instrText>
      </w:r>
      <w:r>
        <w:rPr>
          <w:b/>
        </w:rPr>
      </w:r>
      <w:r>
        <w:rPr>
          <w:b/>
        </w:rPr>
        <w:fldChar w:fldCharType="separate"/>
      </w:r>
      <w:r>
        <w:rPr>
          <w:b/>
        </w:rPr>
        <w:t>Error! Bookmark not defined.</w:t>
      </w:r>
      <w:r>
        <w:rPr>
          <w:b/>
        </w:rPr>
      </w:r>
      <w:r>
        <w:rPr>
          <w:b/>
        </w:rPr>
        <w:fldChar w:fldCharType="end"/>
      </w:r>
      <w:r>
        <w:rPr/>
        <w:t xml:space="preserve"> (emphasis added).  Appendix B to the Comprehensive Settlement provides:  "</w:t>
      </w:r>
      <w:r>
        <w:rPr>
          <w:u w:val="single"/>
        </w:rPr>
        <w:t>Existing</w:t>
      </w:r>
      <w:r>
        <w:rPr/>
        <w:t xml:space="preserve"> on-system California producers can obtain up to 100 percent of the North Coastal and Line 85 receipt point capacity rights based on their historic deliveries."  Ex. 1, Appendix B (emphasis added).  Thus, </w:t>
      </w:r>
      <w:r>
        <w:rPr>
          <w:u w:val="single"/>
        </w:rPr>
        <w:t>existing</w:t>
      </w:r>
      <w:r>
        <w:rPr/>
        <w:t xml:space="preserve"> California producers, including the members of the Indicated Producers, can obtain a pre-open season set-aside of up to 200 MMcf/d before new producers have an opportunity to acquire transmission capacity.  Ex. 27.</w:t>
      </w:r>
    </w:p>
    <w:p>
      <w:pPr>
        <w:pStyle w:val="BodyText"/>
        <w:rPr/>
      </w:pPr>
      <w:r>
        <w:rPr/>
        <w:t xml:space="preserve">If a new producer came along in time to participate in the Comprehensive Settlement's three stage open season but was too late to be deemed to be an "existing" producer eligible to acquire capacity through the pre-open season set-aside, the producer, insofar as it would not be a noncore customer, would be relegated to bidding in the third stage of the open season.  This would provide little solace to the newcomer.  The third stage of the open season would be likely to be a "game of large numbers, in which vendors and end-use customers would be submitting proposals for wildly inflated amounts of capacity in order to get a reasonable allocation of capacity at desirable receipt points."  DGS, at 11.  Thus, new producers would effectively be left to the secondary market to acquire transmission capacity while their existing competitors acquire capacity through the pre-open season set-aside.  This constitutes a barrier to entry that is anti-competitive.  Under </w:t>
      </w:r>
      <w:r>
        <w:rPr>
          <w:u w:val="single"/>
        </w:rPr>
        <w:t>Northern California Power Agency v. Public Utilities Commission</w:t>
      </w:r>
      <w:r>
        <w:rPr/>
        <w:t>, 5 Cal. 3d 370 (1971) the Commission is bound to consider antitrust aspects of all applications before it.  The barrier to entry that is set up in favor of existing producers over new producers is such a concern.</w:t>
      </w:r>
    </w:p>
    <w:p>
      <w:pPr>
        <w:pStyle w:val="BodyText"/>
        <w:rPr/>
      </w:pPr>
      <w:r>
        <w:rPr/>
        <w:t>A similar concern exists regarding CTAs, albeit to a lesser degree.  Like the producers, the CTAs have a right to a pre-open season set-aside of capacity.  Ex. 1, at 13 (CSA § 1.1.3.5.2)</w:t>
      </w:r>
      <w:r>
        <w:fldChar w:fldCharType="begin"/>
      </w:r>
      <w:r>
        <w:rPr>
          <w:b/>
        </w:rPr>
        <w:instrText xml:space="preserve"> l "Ex. 1, at 13 CSA § 1.1.3.5.2" \s "Ex. 1, at 13 CSA § 1.1.3.5.2" \c 3 </w:instrText>
      </w:r>
      <w:r>
        <w:rPr>
          <w:b/>
        </w:rPr>
      </w:r>
      <w:r>
        <w:rPr>
          <w:b/>
        </w:rPr>
        <w:fldChar w:fldCharType="separate"/>
      </w:r>
      <w:r>
        <w:rPr>
          <w:b/>
        </w:rPr>
        <w:t>Error! Bookmark not defined.</w:t>
      </w:r>
      <w:r>
        <w:rPr>
          <w:b/>
        </w:rPr>
      </w:r>
      <w:r>
        <w:rPr>
          <w:b/>
        </w:rPr>
        <w:fldChar w:fldCharType="end"/>
      </w:r>
      <w:r>
        <w:rPr/>
        <w:t>.  However, CTA set-aside rights are renewed each year, so the CTA set-aside does not have as pronounced an anti-competitive effect as the set-aside for the producers.</w:t>
      </w:r>
    </w:p>
    <w:p>
      <w:pPr>
        <w:pStyle w:val="BodyText"/>
        <w:rPr/>
      </w:pPr>
      <w:r>
        <w:rPr/>
        <w:t>The grant of rights to existing transporters over new customers is a prevalent theme throughout the Comprehensive Settlement that affects the structure of the open season as well as the pre-open season set-aside program.  As mentioned in SCGC's Opening Brief, the Comprehensive Settlement would explicitly prohibit new noncore customers such as new generators from bidding in the first and second "customer-only" stages of the initial open season.  SCGC, at 33.  Thus, generally, the Comprehensive Settlement procedures set up barriers to entry in favor of incumbents against newcomers.  The Commission should reject these anti-competitive schemes.</w:t>
      </w:r>
    </w:p>
    <w:p>
      <w:pPr>
        <w:pStyle w:val="Heading2"/>
        <w:ind w:hanging="0" w:start="0"/>
        <w:rPr/>
      </w:pPr>
      <w:bookmarkStart w:id="35" w:name="__RefHeading___Toc489684598"/>
      <w:bookmarkEnd w:id="35"/>
      <w:r>
        <w:rPr/>
        <w:t>The "40 Percent Market Concentration" Limit Would Be Ineffective.</w:t>
      </w:r>
    </w:p>
    <w:p>
      <w:pPr>
        <w:pStyle w:val="BodyText"/>
        <w:rPr/>
      </w:pPr>
      <w:r>
        <w:rPr/>
        <w:t xml:space="preserve">The Indicated Producers tout the effectiveness of the Comprehensive Settlement's 40 percent market concentration limit on the amount of capacity that can be acquired through the open season by any participant at any receipt point.  Indicated Producers, at 13-16.  In its Opening Brief, SCGC explained how the 40 percent limitation could be easily circumvented.  SCGC, at 29-32.  </w:t>
      </w:r>
    </w:p>
    <w:p>
      <w:pPr>
        <w:pStyle w:val="BodyText"/>
        <w:rPr/>
      </w:pPr>
      <w:r>
        <w:rPr/>
        <w:t xml:space="preserve">SoCalGas admits that the 40 percent limitation can be easily circumvented insofar as it applies only to capacity acquired in the open season.  SoCalGas, at 21.  SoCalGas' answer is that the antitrust laws would apply "to prohibit any price fixing or other unlawful actions by holders of firm backbone transmission rights, however acquired."  </w:t>
      </w:r>
      <w:r>
        <w:rPr>
          <w:i/>
        </w:rPr>
        <w:t>Ibid</w:t>
      </w:r>
      <w:r>
        <w:rPr/>
        <w:t>.  This is small solace, given the difficulty of pursuing an antitrust claim, particularly in the face of the inevitable meritless but obfuscating "state action" arguments that would be likely to be raised by the defense.</w:t>
      </w:r>
    </w:p>
    <w:p>
      <w:pPr>
        <w:pStyle w:val="BodyText"/>
        <w:rPr/>
      </w:pPr>
      <w:r>
        <w:rPr/>
        <w:t xml:space="preserve">SoCalGas argues, additionally, that the inadequacies of the "40 percent market concentration limit" should really be of no concern insofar as there is no market concentration limit for PG&amp;E in allocating backbone transmission rights, and there are 75 parties that hold capacity on PG&amp;E's Redwood path.  SoCalGas, at 22.  The Indicated Producers make the same argument.  Indicated Producers, at 15.  In fact, it is unclear whether there is an absence of market concentration on the PG&amp;E system.  Given, among other indicators, PG&amp;E's expressed desire to acquire more backbone capacity on behalf of its core in order to access the more competitive markets at the border, it appears that the PG&amp;E citygate markets have become less liquid, indicating increased concentration.  </w:t>
      </w:r>
    </w:p>
    <w:p>
      <w:pPr>
        <w:pStyle w:val="BodyText"/>
        <w:rPr/>
      </w:pPr>
      <w:r>
        <w:rPr/>
        <w:t>In any event, to the extent that market concentration is not occurring at the PG&amp;E citygates, the low concentration would be likely to be attributable, at least in part, to a factor that is less pronounced on the SoCalGas system: a low on-system load factor.  PG&amp;E's low 67 percent load  factor for on-system deliveries to the PG&amp;E citygate may, itself, be acting as a deterrent to market concentration, to the extent that any deterrence is occurring at all.  SoCalGas, with a load factor of 78 percent, would not enjoy such a low load factor for deliveries to its citygate.</w:t>
      </w:r>
    </w:p>
    <w:p>
      <w:pPr>
        <w:pStyle w:val="BodyText"/>
        <w:rPr/>
      </w:pPr>
      <w:r>
        <w:rPr/>
        <w:t>ORA contends that there is no market concentration problem in the existing citygate or “border” market on the pipelines delivering into the SoCalGas system.  ORA, at 62.  That is true, but it is irrelevant to the issue of market concentration in the new downstream citygate market.  There is a surfeit of pipeline capacity in excess of both SoCalGas demand and SoCalGas takeaway capacity that, in itself, prevents market concentration in the existing citygate market at the SoCalGas receipt points.  Ex. 28.  SCGC explained in its Opening Brief that the slack factor on SoCalGas' "backbone" takeaway facilities would be much lower than on the pipelines that deliver gas to SoCalGas in today's highly competitive “border” citygate markets.  SCGC, at 20-25.</w:t>
      </w:r>
    </w:p>
    <w:p>
      <w:pPr>
        <w:pStyle w:val="BodyText"/>
        <w:rPr/>
      </w:pPr>
      <w:r>
        <w:rPr/>
        <w:t>In any event, even if the 40 percent market concentration limitation were entirely effective to prevent third party manipulation of the market, SoCalGas would still be positioned by the Comprehensive Settlement to manipulate the "backbone" transmission market.  As Long Beach explained, SoCalGas would be a price leader in marketing capacity.  Long Beach, at 10.  SoCalGas will be unlikely to discount not only insofar as its price leader position would assure that it would not have to discount, but also because it can advantage its Mexican affiliates.  Any rate that Mexican affiliates pay to SoCalGas is nothing more than an intracorporate transaction which shifts dollars from one Sempra subsidiary to another.  Sempra is paying itself.  Maintaining full price for capacity would enable SoCalGas to prejudice the competitive position of others while advantaging its Mexican affiliates as well as maximizing revenue to SoCalGas.  Long Beach, at 11.</w:t>
      </w:r>
    </w:p>
    <w:p>
      <w:pPr>
        <w:pStyle w:val="Heading2"/>
        <w:ind w:hanging="0" w:start="0"/>
        <w:rPr/>
      </w:pPr>
      <w:bookmarkStart w:id="36" w:name="__RefHeading___Toc489684599"/>
      <w:bookmarkEnd w:id="36"/>
      <w:r>
        <w:rPr/>
        <w:t>New or Expanded Interconnections Should Have Primary Access Rights to the Extent to Which the New Interconnections Will Not Degrade Rights at Existing Interconnections.</w:t>
      </w:r>
    </w:p>
    <w:p>
      <w:pPr>
        <w:pStyle w:val="BodyText"/>
        <w:rPr/>
      </w:pPr>
      <w:r>
        <w:rPr/>
        <w:t xml:space="preserve">Under the Comprehensive Settlement:  “All new or expanded interconnections will have secondary access rights only, and will be subject to bumping by gas scheduled through primary access points.”  Ex. 1, Appendix B, at 2.  Kern River objects to this provision as unjustifiably and unnecessarily discriminating against new pipelines and new interconnections with existing pipelines.  Kern River, at 3.  Kern River contends that when primary rights at a new interconnection would not degrade rights at existing interconnections, there is no justification for providing only secondary access at the new point.  </w:t>
      </w:r>
      <w:r>
        <w:rPr>
          <w:i/>
        </w:rPr>
        <w:t>Ibid</w:t>
      </w:r>
      <w:r>
        <w:rPr/>
        <w:t>.</w:t>
      </w:r>
    </w:p>
    <w:p>
      <w:pPr>
        <w:pStyle w:val="BodyText"/>
        <w:rPr/>
      </w:pPr>
      <w:r>
        <w:rPr/>
        <w:t>Kern River is right.  The Comprehensive Settlement prohibition on new or expanded interconnections having primary access rights is just another way in which the Comprehensive Settlement discriminates in favor of existing entities over new entities.  At least the Comprehensive Settlement is consistent:  at every opportunity, it establishes in a competitive barrier to entry on behalf of incumbents.</w:t>
      </w:r>
    </w:p>
    <w:p>
      <w:pPr>
        <w:pStyle w:val="Heading1"/>
        <w:ind w:hanging="0" w:start="0"/>
        <w:rPr/>
      </w:pPr>
      <w:bookmarkStart w:id="37" w:name="__RefHeading___Toc489684600"/>
      <w:bookmarkEnd w:id="37"/>
      <w:r>
        <w:rPr/>
        <w:t>COMPENSATION PAID BY ONE CUSTOMER TO ANOTHER FOR DIVERTED GAS IS NO SUBSTITUTE FOR THE INCENTIVE THAT IS PROVIDED BY THE SERVICE INTERRUPTION CREDIT</w:t>
      </w:r>
      <w:r>
        <w:rPr>
          <w:u w:val="none"/>
        </w:rPr>
        <w:t>.</w:t>
      </w:r>
    </w:p>
    <w:p>
      <w:pPr>
        <w:pStyle w:val="BodyText"/>
        <w:rPr/>
      </w:pPr>
      <w:r>
        <w:rPr/>
        <w:t>SoCalGas makes three arguments in support of the Comprehensive Settlement’s elimination of the Service Interruption Credit (“SIC”).  SoCalGas, at 34-36; Ex. 1, at 12 (CSA § 1.1.3.4)</w:t>
      </w:r>
      <w:r>
        <w:fldChar w:fldCharType="begin"/>
      </w:r>
      <w:r>
        <w:rPr>
          <w:b/>
        </w:rPr>
        <w:instrText xml:space="preserve"> l "SoCalGas, at 34-36; Ex. 1, at 12 CSA § 1.1.3.4" \s "SoCalGas, at 34-36; Ex. 1, at 12 CSA § 1.1.3.4" \c 3 </w:instrText>
      </w:r>
      <w:r>
        <w:rPr>
          <w:b/>
        </w:rPr>
      </w:r>
      <w:r>
        <w:rPr>
          <w:b/>
        </w:rPr>
        <w:fldChar w:fldCharType="separate"/>
      </w:r>
      <w:r>
        <w:rPr>
          <w:b/>
        </w:rPr>
        <w:t>Error! Bookmark not defined.</w:t>
      </w:r>
      <w:r>
        <w:rPr>
          <w:b/>
        </w:rPr>
      </w:r>
      <w:r>
        <w:rPr>
          <w:b/>
        </w:rPr>
        <w:fldChar w:fldCharType="end"/>
      </w:r>
      <w:r>
        <w:rPr/>
        <w:t>.  The arguments are unconvincing.</w:t>
      </w:r>
    </w:p>
    <w:p>
      <w:pPr>
        <w:pStyle w:val="Heading2"/>
        <w:ind w:hanging="0" w:start="0"/>
        <w:rPr/>
      </w:pPr>
      <w:bookmarkStart w:id="38" w:name="__RefHeading___Toc489684601"/>
      <w:bookmarkEnd w:id="38"/>
      <w:r>
        <w:rPr/>
        <w:t>The Comprehensive Settlement's $25 per Dth Customer-to-Customer Diversion Charge Is No Substitute for the Service Interruption Credit that Is Paid by SoCalGas Shareholders.</w:t>
      </w:r>
    </w:p>
    <w:p>
      <w:pPr>
        <w:pStyle w:val="BodyText"/>
        <w:rPr/>
      </w:pPr>
      <w:r>
        <w:rPr/>
        <w:t>First, SoCalGas argues that it would be appropriate to eliminate the SIC insofar as §1.5.4 of the Comprehensive Settlement provides for the payment of $25 per dth fee to any noncore customer which has delivered gas onto the SoCalGas system that is then diverted to ensure service to core customers.  SoCalGas, at 35.  The $25 per dth fee, however, is no substitute for the Service Interruption Credit.  Under the Comprehensive Settlement, the $25 fee would be collected by SoCalGas from the customer that gets the diverted gas and then would be passed on to the customer that is deemed to have had its gas diverted:</w:t>
      </w:r>
    </w:p>
    <w:p>
      <w:pPr>
        <w:pStyle w:val="Quote"/>
        <w:rPr/>
      </w:pPr>
      <w:r>
        <w:rPr/>
        <w:t>When operational conditions exist such that supply is insufficient to meet demand and delivery to end-users is threatened, the diversion of supply may be used to ensure continued gas delivery to core end-users.  OFO provisions will also apply under these conditions.  If a noncore end-user’s supply is diverted to prevent a curtailment of core customers, then that end-user must curtail its use of natural gas.  Similar to the PG&amp;E system, there will be an additional $25/dth diversion charge assessed to any customer receiving involuntarily diverted gas supply.  The revenues from the diversion charge will be credited to the customers who had their gas diverted.</w:t>
      </w:r>
    </w:p>
    <w:p>
      <w:pPr>
        <w:pStyle w:val="BodyTextNoIndent"/>
        <w:rPr/>
      </w:pPr>
      <w:r>
        <w:rPr/>
        <w:t>Ex. 1 at 27 (CSA §1.5.4)</w:t>
      </w:r>
      <w:r>
        <w:fldChar w:fldCharType="begin"/>
      </w:r>
      <w:r>
        <w:rPr>
          <w:b/>
        </w:rPr>
        <w:instrText xml:space="preserve">l "Ex. 1 at 27 CSA §1.5.4" \s "Ex. 1 at 27 CSA §1.5.4" \c 3 </w:instrText>
      </w:r>
      <w:r>
        <w:rPr>
          <w:b/>
        </w:rPr>
      </w:r>
      <w:r>
        <w:rPr>
          <w:b/>
        </w:rPr>
        <w:fldChar w:fldCharType="separate"/>
      </w:r>
      <w:r>
        <w:rPr>
          <w:b/>
        </w:rPr>
        <w:t>Error! Bookmark not defined.</w:t>
      </w:r>
      <w:r>
        <w:rPr>
          <w:b/>
        </w:rPr>
      </w:r>
      <w:r>
        <w:rPr>
          <w:b/>
        </w:rPr>
        <w:fldChar w:fldCharType="end"/>
      </w:r>
      <w:r>
        <w:rPr/>
        <w:t>.  While the $25 per dth diversion charge would be received from one customer and passed on to another, the Service Interruption Credit that would be received by a curtailed customer would come from SoCalGas.  SoCalGas Rule 23, Section L.</w:t>
      </w:r>
    </w:p>
    <w:p>
      <w:pPr>
        <w:pStyle w:val="BodyText"/>
        <w:rPr/>
      </w:pPr>
      <w:r>
        <w:rPr/>
        <w:t>As explained in SCGC’s Opening Brief, the purpose of the SIC mechanism is to provide SoCalGas with an incentive to maintain and expand its system as may be necessary to assure that there will not be a recurrence of the curtailments that were experienced in the late 1980s due to transmission capacity constraints.  The $25 customer-to-customer diversion charge fails to achieve the objective of providing an incentive to SoCalGas to expand its system when necessary to avoid curtailments.  Thus, contrary to SoCalGas’ claim, it is no substitute for the SIC mechanism.</w:t>
      </w:r>
    </w:p>
    <w:p>
      <w:pPr>
        <w:pStyle w:val="Heading2"/>
        <w:ind w:hanging="0" w:start="0"/>
        <w:rPr/>
      </w:pPr>
      <w:bookmarkStart w:id="39" w:name="__RefHeading___Toc489684602"/>
      <w:bookmarkEnd w:id="39"/>
      <w:r>
        <w:rPr/>
        <w:t>PG&amp;E Does Not Have a SIC Because It Did Not Curtail Customers like SoCalGas Did in the 1980s.</w:t>
      </w:r>
    </w:p>
    <w:p>
      <w:pPr>
        <w:pStyle w:val="BodyText"/>
        <w:rPr/>
      </w:pPr>
      <w:r>
        <w:rPr/>
        <w:t>Second, SoCalGas argues that there is “no provision comparable to the SIC in place on the PG&amp;E system.”  SoCalGas, at 35.  The reason for this is that PG&amp;E customers have not experienced sustained curtailments driven by capacity constraints as were experienced by SoCalGas customers throughout the late 1980s.</w:t>
      </w:r>
    </w:p>
    <w:p>
      <w:pPr>
        <w:pStyle w:val="Heading2"/>
        <w:ind w:hanging="0" w:start="0"/>
        <w:rPr/>
      </w:pPr>
      <w:bookmarkStart w:id="40" w:name="__RefHeading___Toc489684603"/>
      <w:bookmarkEnd w:id="40"/>
      <w:r>
        <w:rPr/>
        <w:t>SoCalGas Should Be Subject to the SIC Incentive to Maintain and Expand Its System Regardless of Whether or Not the Comprehensive Settlement Is Approved.</w:t>
      </w:r>
    </w:p>
    <w:p>
      <w:pPr>
        <w:pStyle w:val="BodyText"/>
        <w:rPr/>
      </w:pPr>
      <w:r>
        <w:rPr/>
        <w:t>Third, SoCalGas argues that while the SIC mechanism may currently be appropriate, it would not be appropriate to continue the SIC after the Comprehensive Settlement scheme is implemented insofar as “a shipper on SoCalGas has no right to ship gas on a firm basis, and therefore no right to compensation when SoCalGas curtails its service, unless it holds firm backbone transmission rights.”  SoCalGas, at 35.  This constitutes an admission by SoCalGas that the SIC mechanism would continue to be appropriate if the Commission rejects the Comprehensive Settlement “backbone” unbundling scheme.  SCGC, of course, believes that the unbundling scheme should be rejected.  Thus, if the Commission adopts SCGC’s recommendation to reject “backbone” unbundling, it appears that there is no issue about the SIC:  SoCalGas and its customers agree that the SIC should be continued.</w:t>
      </w:r>
    </w:p>
    <w:p>
      <w:pPr>
        <w:pStyle w:val="BodyText"/>
        <w:rPr/>
      </w:pPr>
      <w:r>
        <w:rPr/>
        <w:t>The SIC mechanism should also be continued even if the Comprehensive Settlement “backbone” unbundling scheme were adopted by the Commission.  Unless SoCalGas is given an incentive to expand its system when capacity constraints start to cause curtailments as they did in the 1980s, the size of the SoCalGas system and the ability of SoCalGas to serve customers will be locked in.  If constraints develop so that the existing 3,500 MMcf/d at receipt point and takeaway capacity on the SoCalGas system is no longer adequate and starts to constrain SoCalGas’ ability to deliver gas reliably to its customers, there should be a mechanism in place to provide SoCalGas with an incentive to add transmission capacity.  The SIC mechanism provides that incentive.  Without the incentive, SoCalGas would be likely to fail to expand its system, resulting in the Commission being bombarded with complaints about unreliable service, just as it was in the 1980s.  Neither the Commission, SoCalGas, nor customers should want a recurrence of the experience of the curtailment controversy of the 1980s.</w:t>
      </w:r>
    </w:p>
    <w:p>
      <w:pPr>
        <w:pStyle w:val="Heading1"/>
        <w:ind w:hanging="0" w:start="0"/>
        <w:rPr/>
      </w:pPr>
      <w:bookmarkStart w:id="41" w:name="__RefHeading___Toc489684604"/>
      <w:bookmarkEnd w:id="41"/>
      <w:r>
        <w:rPr/>
        <w:t>THE COMMISSION SHOULD STAND BY ITS RECENT DECISION THAT THE EDISON AND SDG&amp;E WHEELER RIDGE ACCESS AGREEMENTS SHOULD BE CONTINUED IN FORCE UNLESS BOUGHT OUT WITH COMPENSATION FLOWING TO SOCALGAS CUSTOMERS</w:t>
      </w:r>
      <w:r>
        <w:rPr>
          <w:u w:val="none"/>
        </w:rPr>
        <w:t>.</w:t>
      </w:r>
    </w:p>
    <w:p>
      <w:pPr>
        <w:pStyle w:val="BodyText"/>
        <w:rPr/>
      </w:pPr>
      <w:r>
        <w:rPr/>
        <w:t>In D.00-04-060, the decision in SoCalGas’ 1999 BCAP, the Commission decided that the Edison and SDG&amp;E commitments to pay demand charges to SoCalGas under their Wheeler Ridge Access Agreements with SoCalGas should continue to be enforced by SoCalGas unless the contracts are bought out, with buy-out revenues flowing to SoCalGas ratepayers as compensation for the loss of the demand charge revenues that it would otherwise flow from Edison and SDG&amp;E.  The Comprehensive Settlement would cancel the Edison agreement and suspend the SDG&amp;E agreement, effective October 1, 2001, without the compensation required in D.00-04-060.  Ex. 1, at 17 (CSA §1.1.3.6.6)</w:t>
      </w:r>
      <w:r>
        <w:fldChar w:fldCharType="begin"/>
      </w:r>
      <w:r>
        <w:rPr>
          <w:b/>
        </w:rPr>
        <w:instrText xml:space="preserve"> l "Ex. 1, at 17 CSA §1.1.3.6.6" \s "Ex. 1, at 17 CSA §1.1.3.6.6" \c 3 </w:instrText>
      </w:r>
      <w:r>
        <w:rPr>
          <w:b/>
        </w:rPr>
      </w:r>
      <w:r>
        <w:rPr>
          <w:b/>
        </w:rPr>
        <w:fldChar w:fldCharType="separate"/>
      </w:r>
      <w:r>
        <w:rPr>
          <w:b/>
        </w:rPr>
        <w:t>Error! Bookmark not defined.</w:t>
      </w:r>
      <w:r>
        <w:rPr>
          <w:b/>
        </w:rPr>
      </w:r>
      <w:r>
        <w:rPr>
          <w:b/>
        </w:rPr>
        <w:fldChar w:fldCharType="end"/>
      </w:r>
      <w:r>
        <w:rPr/>
        <w:t>.  SoCalGas argues that cancellation is appropriate insofar as “retention of the Edison and SDG&amp;E Wheeler Ridge Access Agreements would mean that a great deal of the capacity at Wheeler Ridge would not be available to customers in general through the open season process.”  SoCalGas, at 37.</w:t>
      </w:r>
    </w:p>
    <w:p>
      <w:pPr>
        <w:pStyle w:val="BodyText"/>
        <w:rPr/>
      </w:pPr>
      <w:r>
        <w:rPr/>
        <w:t>SoCalGas's argument effectively constitutes an admission that the Wheeler Ridge Access Agreements should continue to be enforced if the Comprehensive Settlement “backbone” unbundling scheme is rejected by the Commission.  SCGC recommends that the unbundling scheme be rejected.  If that recommendation is adopted, it appears that SCGC and SoCalGas will be in agreement that the Wheeler Ridge Access Agreements should continue to be enforced.</w:t>
      </w:r>
    </w:p>
    <w:p>
      <w:pPr>
        <w:pStyle w:val="Heading1"/>
        <w:ind w:hanging="0" w:start="0"/>
        <w:rPr/>
      </w:pPr>
      <w:bookmarkStart w:id="42" w:name="__RefHeading___Toc489684605"/>
      <w:bookmarkEnd w:id="42"/>
      <w:r>
        <w:rPr/>
        <w:t>THE COMPREHENSIVE SETTLEMENT STORAGE UNBUNDLING PROPOSALS SHOULD BE REJECTED AND THE POST-INTERIM SETTLEMENT PROPOSALS ADOPTED</w:t>
      </w:r>
      <w:r>
        <w:rPr>
          <w:u w:val="none"/>
        </w:rPr>
        <w:t>.</w:t>
      </w:r>
    </w:p>
    <w:p>
      <w:pPr>
        <w:pStyle w:val="BodyText"/>
        <w:rPr/>
      </w:pPr>
      <w:r>
        <w:rPr/>
        <w:t>The 1999 SoCalGas BCAP reservation of storage capacity for the core should be retained, there should continue to be a cap on what SoCalGas can charge for unbundled storage, and Montebello costs should be removed from customers’ rates as proposed in the Post-Interim Settlement, notwithstanding the arguments of the Comprehensive Settlement supporters.</w:t>
      </w:r>
    </w:p>
    <w:p>
      <w:pPr>
        <w:pStyle w:val="Heading2"/>
        <w:ind w:hanging="0" w:start="0"/>
        <w:rPr/>
      </w:pPr>
      <w:bookmarkStart w:id="43" w:name="__RefHeading___Toc489684606"/>
      <w:bookmarkEnd w:id="43"/>
      <w:r>
        <w:rPr/>
        <w:t>The 1999 SoCalGas BCAP Reservation of 70 BCF of Inventory Capacity Should Continue for the Term of the BCAP.</w:t>
      </w:r>
    </w:p>
    <w:p>
      <w:pPr>
        <w:pStyle w:val="BodyText"/>
        <w:rPr/>
      </w:pPr>
      <w:r>
        <w:rPr/>
        <w:t>ORA argues in favor of the Comprehensive Settlement reduction of the core storage inventory reservation from 70 bcf to 15 bcf by making two arguments.  First, ORA argues that the reduction of 15 bcf from the level just recently adopted in the SoCalGas 1999 BCAP is justified on the basis of "the fact that the core previously was paying for a reservation larger than required to meet the core's needs."  ORA, at 29.  That certainly was not ORA's position in the BCAP in which a decision was reached only three months ago on April 20, 2000.  In the BCAP, ORA supported the 70 bcf reservation.  Nothing has changed in the meantime.  If 70 bcf of inventory was an appropriate figure in the BCAP, it is still appropriate, and the inventory should be retained.</w:t>
      </w:r>
    </w:p>
    <w:p>
      <w:pPr>
        <w:pStyle w:val="BodyText"/>
        <w:rPr/>
      </w:pPr>
      <w:r>
        <w:rPr/>
        <w:t xml:space="preserve">Perhaps sensing that something more should be said to justify its flip-flop on the storage inventory reservation issue, ORA goes on to argue that the "move to an embedded cost allocation in conjunction with a reduction in the core inventory reservation results in a direct savings to the core of approximately $6 million . . . ."  ORA, at 30.  (Actually, the figure for the “savings” that would result from the 15 bcf reduction is $5.2 million.  Ex. 2, at 18 (Lorenz).  The "savings" figure goes over the $6 million mark only after $1.25 million in oil revenue credits is thrown in.  </w:t>
      </w:r>
      <w:r>
        <w:rPr>
          <w:i/>
        </w:rPr>
        <w:t>Ibid</w:t>
      </w:r>
      <w:r>
        <w:rPr/>
        <w:t>.)  The problem with ORA's argument is that the supposed “savings” does nothing more than offset increased transportation and other costs that the Comprehensive Settlement shifts to the core.  The net result is no rate benefit for the core even though the core is left with 55 bcf of inventory capacity rather than 70 bcf.</w:t>
      </w:r>
    </w:p>
    <w:p>
      <w:pPr>
        <w:pStyle w:val="BodyText"/>
        <w:rPr/>
      </w:pPr>
      <w:r>
        <w:rPr/>
        <w:t>Given that the core realizes no rate benefit from reducing the core storage inventory reservation by 15 bcf and is left with fewer storage assets, the question is, “Where does the lost value associated with the lost 15 bcf go?”  As discussed above, under the Comprehensive Settlement, the core’s lost value migrates to SoCalGas and marketers.  The core storage reservation should be retained at the 70 bcf level and the Comprehensive Settlement shift of costs to the core should be rejected.</w:t>
      </w:r>
    </w:p>
    <w:p>
      <w:pPr>
        <w:pStyle w:val="Heading2"/>
        <w:ind w:hanging="0" w:start="0"/>
        <w:rPr/>
      </w:pPr>
      <w:bookmarkStart w:id="44" w:name="__RefHeading___Toc489684607"/>
      <w:bookmarkEnd w:id="44"/>
      <w:r>
        <w:rPr/>
        <w:t>The Comprehensive Settlement Elimination of a Cap on SoCalGas Charges for Unbundled Storage Capacity Should Be Rejected.</w:t>
      </w:r>
    </w:p>
    <w:p>
      <w:pPr>
        <w:pStyle w:val="BodyText"/>
        <w:rPr/>
      </w:pPr>
      <w:r>
        <w:rPr/>
        <w:t>The Comprehensive Settlement would eliminate any cap on the price that SoCalGas could charge in negotiations for unbundled storage capacity.  By contrast, the Post-Interim Settlement would retain the cap that currently applies under SoCalGas' Schedule G-TBS.  SoCalGas argues that there should be no cap insofar as "the absence of a cap is in practice no different than today's situation," given that the Schedule G-TBS cap is fairly liberal.  However, if the Schedule G-TBS cap is so liberal that its absence makes no difference, SoCalGas should have no objection to retaining the cap.  Accordingly, the Post-Interim Settlement retention of the Schedule G-TBS cap should be adopted, and the Comprehensive Settlement proposal to eliminate caps on unbundled storage negotiated prices should be rejected.</w:t>
      </w:r>
    </w:p>
    <w:p>
      <w:pPr>
        <w:pStyle w:val="BodyText"/>
        <w:rPr/>
      </w:pPr>
      <w:r>
        <w:rPr/>
        <w:t>ORA, uncharacteristically, also argues in favor of "unlimited pricing flexibility" for negotiated storage transactions.  ORA, at 33.  ORA argues that the availability of the standard storage package during open seasons and the availability of storage capacity in the secondary market would be enough of a constraint on SoCalGas' pricing flexibility so as to permit elimination of caps on negotiated storage transactions.  ORA, at 33-34.  SCGC has already shown in its Opening Brief, however, that neither the standard packages nor the secondary market are enough of a constraint.  SCGC, at 68-71.</w:t>
      </w:r>
    </w:p>
    <w:p>
      <w:pPr>
        <w:pStyle w:val="Heading2"/>
        <w:ind w:hanging="0" w:start="0"/>
        <w:rPr/>
      </w:pPr>
      <w:bookmarkStart w:id="45" w:name="__RefHeading___Toc489684608"/>
      <w:bookmarkEnd w:id="45"/>
      <w:r>
        <w:rPr/>
        <w:t>Insofar as SoCalGas Stopped Using Montebello Three Years Ago to Provide Service to Customers, Montebello Costs Should Be Removed from Rates.</w:t>
      </w:r>
    </w:p>
    <w:p>
      <w:pPr>
        <w:pStyle w:val="BodyText"/>
        <w:rPr/>
      </w:pPr>
      <w:r>
        <w:rPr/>
        <w:t>SoCalGas has stated that it has not used the Montebello storage field since before April, 1997.  A.98-01-015, at 6-7; Ex. 101, at 56 (Yap).  In D.99-09-068, the Commission found that ratepayers should not continue to pay the costs associated with Montebello if it were subsequently determined that the facility has not been used and useful.  Accordingly, the Commission ordered that rate recovery of Montebello costs after the effective date of the decision, September 16, 1999, would be subject to refund.  In light of the fact that Montebello is no longer used and useful as a result of SoCalGas removing it from service, and insofar as recovery of Montebello costs has been subject to refund since September 16, 1999, the Post-Interim Settlement removes Montebello costs from rates, effective September 16, 1999.  Ex. 100, at 8 (PSA § 5.2)</w:t>
      </w:r>
      <w:r>
        <w:fldChar w:fldCharType="begin"/>
      </w:r>
      <w:r>
        <w:rPr>
          <w:b/>
        </w:rPr>
        <w:instrText xml:space="preserve"> l "Ex. 100, at 8 PSA § 5.2" \s "Ex. 100, at 8 PSA § 5.2" \c 3 </w:instrText>
      </w:r>
      <w:r>
        <w:rPr>
          <w:b/>
        </w:rPr>
      </w:r>
      <w:r>
        <w:rPr>
          <w:b/>
        </w:rPr>
        <w:fldChar w:fldCharType="separate"/>
      </w:r>
      <w:r>
        <w:rPr>
          <w:b/>
        </w:rPr>
        <w:t>Error! Bookmark not defined.</w:t>
      </w:r>
      <w:r>
        <w:rPr>
          <w:b/>
        </w:rPr>
      </w:r>
      <w:r>
        <w:rPr>
          <w:b/>
        </w:rPr>
        <w:fldChar w:fldCharType="end"/>
      </w:r>
      <w:r>
        <w:rPr/>
        <w:t>.</w:t>
      </w:r>
    </w:p>
    <w:p>
      <w:pPr>
        <w:pStyle w:val="BodyText"/>
        <w:rPr/>
      </w:pPr>
      <w:r>
        <w:rPr/>
        <w:t>SoCalGas argues against removing Montebello costs from rates retroactively to September 16, 1999 by contending that SCGC inconsistently argued in A.98-01-015, the case in which SoCalGas requested authority to sell Montebello, that "SoCalGas has failed to show that the field was not necessary or useful to the provision of utility service . . . ."  SoCalGas, at 83.  In fact, that is a mischaracterization of SCGC's position.  SoCalGas, by its voluntary actions, rendered Montebello unused and unuseful by ceasing to use the field to provide service to customers.  There was no issue about that in A.98-01-015.</w:t>
      </w:r>
    </w:p>
    <w:p>
      <w:pPr>
        <w:pStyle w:val="BodyText"/>
        <w:rPr/>
      </w:pPr>
      <w:r>
        <w:rPr/>
        <w:t xml:space="preserve">The issue that was raised by SCGC in A.98-01-015 was whether SoCalGas would have adequate firm injection capacity at its remaining fields to meet SoCalGas' service obligations after the sale of Montebello, which SCGC did not oppose.  As explained in SCGC's Opening Brief in A.98-01-015, at the time SoCalGas filed its application to sell Montebello, SoCalGas' commitments for firm injection service totaled 731 MMcf/d.  Ex. 14, Att. C, at 2.  SoCalGas total firm injection capacity as established in the 1996 SoCalGas BCAP was 803 MMcf/d, including Montebello.  Yet, in A.98-01-015, SoCalGas claimed to have 814 MMcf/d of firm injection capacity </w:t>
      </w:r>
      <w:r>
        <w:rPr>
          <w:u w:val="single"/>
        </w:rPr>
        <w:t>excluding</w:t>
      </w:r>
      <w:r>
        <w:rPr/>
        <w:t xml:space="preserve"> Montebello.  Montebello accounts for 100 MMcf/d of SoCalGas' total firm injection capacity.  By subtracting Montebello capacity from SoCalGas' total firm injection capacity of 803 MMcf/d as determined in previous proceedings, SoCalGas would be left with 703 MMcf/d capacity, 28 MMcf/d less than SoCalGas needs to meet its existing service commitments.  Ex. 14, Att. C, at 2.  Accordingly, SCGC recommended in A.98-01-015 that the Commission should approve SoCalGas' application to sell Montebello with the condition that SoCalGas shall bear the costs of any storage injection expansion that the Commission would subsequently determine is required to meet its service obligations as determined in a future Commission proceeding.  </w:t>
      </w:r>
      <w:r>
        <w:rPr>
          <w:i/>
        </w:rPr>
        <w:t>Ibid</w:t>
      </w:r>
      <w:r>
        <w:rPr/>
        <w:t xml:space="preserve">, at 3.  </w:t>
      </w:r>
    </w:p>
    <w:p>
      <w:pPr>
        <w:pStyle w:val="BodyText"/>
        <w:rPr/>
      </w:pPr>
      <w:r>
        <w:rPr/>
        <w:t>SCGC still thinks that recommendation as made in A.98-01-015 is appropriate.  It was SoCalGas that unilaterally decided to take Montebello out of service.  SoCalGas should now be required to take Montebello costs out of rates, retroactive to September 16, 1999.  Additionally, given the unilateral nature of SoCalGas' action, if it is subsequently determined by the Commission that storage injection expansion is needed to meet service obligations that cannot be met because SoCalGas has removed Montebello from service, SoCalGas should bear the of any associated storage injection expansion.</w:t>
      </w:r>
    </w:p>
    <w:p>
      <w:pPr>
        <w:pStyle w:val="Heading1"/>
        <w:ind w:hanging="0" w:start="0"/>
        <w:rPr/>
      </w:pPr>
      <w:bookmarkStart w:id="46" w:name="__RefHeading___Toc489684609"/>
      <w:bookmarkEnd w:id="46"/>
      <w:r>
        <w:rPr/>
        <w:t>THE COMPREHENSIVE SETTLEMENT REDUCTION OF BALANCING ASSETS AND ELIMINATION OF SYSTEMWIDE BALANCING SHOULD BE REJECTED</w:t>
      </w:r>
      <w:r>
        <w:rPr>
          <w:u w:val="none"/>
        </w:rPr>
        <w:t>.</w:t>
      </w:r>
    </w:p>
    <w:p>
      <w:pPr>
        <w:pStyle w:val="BodyText"/>
        <w:rPr/>
      </w:pPr>
      <w:r>
        <w:rPr/>
        <w:t>The Comprehensive Settlement would reduce the allocation of assets to the balancing function while simultaneously depriving customers of the advantages of system-wide balancing.  The result would be more OFOs and increased costs for customers.</w:t>
      </w:r>
    </w:p>
    <w:p>
      <w:pPr>
        <w:pStyle w:val="Heading2"/>
        <w:ind w:hanging="0" w:start="0"/>
        <w:rPr/>
      </w:pPr>
      <w:bookmarkStart w:id="47" w:name="__RefHeading___Toc489684610"/>
      <w:bookmarkEnd w:id="47"/>
      <w:r>
        <w:rPr/>
        <w:t>The Injection Capacity Allocated to Balancing Service Should Not Be Reduced.</w:t>
      </w:r>
    </w:p>
    <w:p>
      <w:pPr>
        <w:pStyle w:val="BodyText"/>
        <w:rPr/>
      </w:pPr>
      <w:r>
        <w:rPr/>
        <w:t>The total allocation of injection capacity for balancing service is currently 354.9 MMcf/d.  Of this, 329.4 MMcf/d is allocated for noncore service, while 25.5 MMcf/d is allocated to core service.  The Comprehensive Settlement would completely eliminate the allocation of 25.5 MMcf/d of injection capacity to core balancing service and would reduce the noncore allocation from 329.4 MMcf/d to 250 MMcf/d.  Ex. 1, at 30 (CSA § 2.1.3.1)</w:t>
      </w:r>
      <w:r>
        <w:fldChar w:fldCharType="begin"/>
      </w:r>
      <w:r>
        <w:rPr>
          <w:b/>
        </w:rPr>
        <w:instrText xml:space="preserve"> l "Ex. 1, at __0 CSA § 2.1.3.1" \s "Ex. 1, at __0 CSA § 2.1.3.1" \c 3 </w:instrText>
      </w:r>
      <w:r>
        <w:rPr>
          <w:b/>
        </w:rPr>
      </w:r>
      <w:r>
        <w:rPr>
          <w:b/>
        </w:rPr>
        <w:fldChar w:fldCharType="separate"/>
      </w:r>
      <w:r>
        <w:rPr>
          <w:b/>
        </w:rPr>
        <w:t>Error! Bookmark not defined.</w:t>
      </w:r>
      <w:r>
        <w:rPr>
          <w:b/>
        </w:rPr>
      </w:r>
      <w:r>
        <w:rPr>
          <w:b/>
        </w:rPr>
        <w:fldChar w:fldCharType="end"/>
      </w:r>
      <w:r>
        <w:rPr/>
        <w:t>.</w:t>
      </w:r>
    </w:p>
    <w:p>
      <w:pPr>
        <w:pStyle w:val="Heading3"/>
        <w:ind w:hanging="450" w:start="1170"/>
        <w:rPr/>
      </w:pPr>
      <w:bookmarkStart w:id="48" w:name="__RefHeading___Toc489684611"/>
      <w:bookmarkEnd w:id="48"/>
      <w:r>
        <w:rPr/>
        <w:t>The Noncore Reservation of Storage Injection Balancing Capacity Should Be Retained.</w:t>
      </w:r>
    </w:p>
    <w:p>
      <w:pPr>
        <w:pStyle w:val="BodyText"/>
        <w:rPr/>
      </w:pPr>
      <w:r>
        <w:rPr/>
        <w:t xml:space="preserve">SoCalGas argues that the reduction to 250 MMcf/d of injection for noncore balancing service is appropriate because "the 250 MMcf/d of injection is for balancing a much smaller amount of transportation."  SoCalGas, at 53.  This is erroneous.  If anything, noncore throughput will increase.  </w:t>
      </w:r>
    </w:p>
    <w:p>
      <w:pPr>
        <w:pStyle w:val="BodyText"/>
        <w:rPr/>
      </w:pPr>
      <w:r>
        <w:rPr/>
        <w:t>Additionally, under the Comprehensive Settlement, the noncore class would be required to balance separately from the core class.  The result is that more rather than less injection capacity would be needed to prevent OFOs from ballooning dramatically.  Reducing the noncore allocation of injection capacity to the balancing function from the current 329.4 MMcf/d level to 250 MMcf/d while simultaneously moving from system-wide balancing to class-by-class balancing does nothing more than drive noncore customers into the uncapped market for storage capacity to the benefit of SoCalGas and any other storage providers that might appear later.</w:t>
      </w:r>
    </w:p>
    <w:p>
      <w:pPr>
        <w:pStyle w:val="Heading3"/>
        <w:ind w:hanging="450" w:start="1170"/>
        <w:rPr/>
      </w:pPr>
      <w:bookmarkStart w:id="49" w:name="__RefHeading___Toc489684612"/>
      <w:bookmarkEnd w:id="49"/>
      <w:r>
        <w:rPr/>
        <w:t>The Core Reservation of Storage Injection Balancing Capacity Should Be Retained.</w:t>
      </w:r>
    </w:p>
    <w:p>
      <w:pPr>
        <w:pStyle w:val="BodyText"/>
        <w:rPr/>
      </w:pPr>
      <w:r>
        <w:rPr/>
        <w:t>ORA argues in defense of eliminating the 25.5 MMcf/d of injection capacity allocated to the balancing function for the core.  ORA points out that the current core injection reservation is 327 MMcf/d.  If the 25.5 MMcf/d is added to this, the total is 352.5 MMcf/d.  ORA, at 46-47.  Reducing the 352.5 MMcf/d by the 25.5 MMcf/d results in only a 7 percent reduction in the core's total injection reservation, while firm inventory would be reduced by 21 percent from 70 bcf to 55 bcf under the Comprehensive Settlement.  ORA contends it is certainly justifiable to reduce the core's total injection capacity by 7 percent if inventory is being reduced by 21 percent.  ORA, at 47.</w:t>
      </w:r>
    </w:p>
    <w:p>
      <w:pPr>
        <w:pStyle w:val="BodyText"/>
        <w:rPr/>
      </w:pPr>
      <w:r>
        <w:rPr/>
        <w:t>ORA's mistake is to assume that it is justifiable to reduce the inventory capacity by 15 bcf.  The supposed "savings" that will result from this reduction does nothing more than offset other costs that the Comprehensive Settlement shifts to the core with no net benefit to the core.  Furthermore, the core will have to incur costs to compensate for the lost value associated with the reduction in inventory reservation.</w:t>
      </w:r>
    </w:p>
    <w:p>
      <w:pPr>
        <w:pStyle w:val="BodyText"/>
        <w:rPr/>
      </w:pPr>
      <w:r>
        <w:rPr/>
        <w:t>Additionally, there would be no net savings to the core as a result of eliminating the 25.5 MMcf/d allocation of injection capacity to the core for balancing purposes.  As with the reduction in the core’s inventory capacity, any cost savings that would result from the reduction would be offset by the shift of costs to the core.  As TURN demonstrated, there would be a cost of $0.5 million to the core of replacing the lost injection capacity.  TURN, at 44.  Alternatively, assuming the lost injection capacity were not replaced, given that the reduced storage injection reservation would be combined with class-by-class balancing under the Comprehensive Settlement, the core would experience increased gas costs estimated to be $5.6 million annually.  TURN, at 50.</w:t>
      </w:r>
    </w:p>
    <w:p>
      <w:pPr>
        <w:pStyle w:val="Heading2"/>
        <w:ind w:hanging="0" w:start="0"/>
        <w:rPr/>
      </w:pPr>
      <w:bookmarkStart w:id="50" w:name="__RefHeading___Toc489684613"/>
      <w:bookmarkEnd w:id="50"/>
      <w:r>
        <w:rPr/>
        <w:t>The Threat of Increased OFOs that Results from Reducing Storage Allocations While Abandoning System-wide Balancing Would Unnecessarily Impose Increased Costs on Customers.</w:t>
      </w:r>
    </w:p>
    <w:p>
      <w:pPr>
        <w:pStyle w:val="BodyText"/>
        <w:rPr/>
      </w:pPr>
      <w:r>
        <w:rPr/>
        <w:t>SCGC presented evidence showing that as a result of eliminating the benefits of load-diversity while reducing load-balancing resources, the Comprehensive Settlement would increase the number and intensity of OFOs dramatically for both core and noncore customers.  SCGC, at 75-76.  The core would have an 89-fold increase in OFO events, going from 1 to 89 events, while noncore customers would see a quadrupling of OFO events over 1999 levels from 19 to 86 occurrences.  Ex.  102, at 36 (Yap).  In response, SoCalGas contends that SCGC's projections are based on taking past behavior and projecting the consequences of the same behavior rather than taking into account the fact that the Comprehensive Settlement rules would change shippers' behavior.</w:t>
      </w:r>
    </w:p>
    <w:p>
      <w:pPr>
        <w:pStyle w:val="BodyText"/>
        <w:rPr/>
      </w:pPr>
      <w:r>
        <w:rPr/>
        <w:t>No doubt, behavior would change.  Threatened with the substantial Comprehensive Settlement penalties for OFO violations, customers would be forced to procure either pipeline capacity, storage capacity, or spot gas in an unregulated market.  The result would be dramatically increased costs.  Indeed, SoCalGas, marketers, and storage providers who are the motivating force behind the Comprehensive Settlement know this.  From the standpoint of SoCalGas, marketers, and storage providers, those increased costs would translate into being increased revenues and net profits.</w:t>
      </w:r>
    </w:p>
    <w:p>
      <w:pPr>
        <w:pStyle w:val="BodyText"/>
        <w:rPr/>
      </w:pPr>
      <w:r>
        <w:rPr/>
        <w:t>SoCalGas, further, contends that PG&amp;E's experience with a sharp increase in OFOs after implementation of the Gas Accord "is irrelevant . . . ."  SoCalGas, at 54.  To the contrary, it is quite relevant.  As a result of switching to the Gas Accord regime, OFOs did increase on the PG&amp;E system.  It would be even worse on the SoCalGas system, insofar as PG&amp;E balances on a system-wide basis under the Gas Accord, whereas the Comprehensive Settlement would force customer classes on the SoCalGas system to balance separately, stripping customers of the benefits of load diversity.</w:t>
      </w:r>
    </w:p>
    <w:p>
      <w:pPr>
        <w:pStyle w:val="Heading2"/>
        <w:ind w:hanging="0" w:start="0"/>
        <w:rPr/>
      </w:pPr>
      <w:bookmarkStart w:id="51" w:name="__RefHeading___Toc489684614"/>
      <w:bookmarkEnd w:id="51"/>
      <w:r>
        <w:rPr/>
        <w:t>Liberalized Imbalance Trading on Altra for a Fee is Not Optional Under the Comprehensive Settlement.</w:t>
      </w:r>
    </w:p>
    <w:p>
      <w:pPr>
        <w:pStyle w:val="BodyText"/>
        <w:rPr/>
      </w:pPr>
      <w:r>
        <w:rPr/>
        <w:t xml:space="preserve">In its Opening Brief, SCGC explained that while both the Comprehensive Settlement and the Interim Settlement would permit liberalized imbalance trading, the Comprehensive Settlement would compromise liquidity of the imbalance trading market by imposing charges on trades, which would be required to be through Altra.  SCGC, at 83.  In response, Enron contends that any customer who wishes to trade in the old "bilateral" manner may do so under the Comprehensive Settlement Agreement, emphasizing that the Altra system is purely optional.  WGSI/Enron at 18.  In support of the proposition that the use of Altra is optional under the Comprehensive Settlement, Enron cites testimony in which witnesses stated that they believed that the intent of the Comprehensive Settlement was to have Altra trading as an option rather than a replacement for bilateral trading.  </w:t>
      </w:r>
      <w:r>
        <w:rPr>
          <w:i/>
        </w:rPr>
        <w:t>Ibid</w:t>
      </w:r>
      <w:r>
        <w:rPr/>
        <w:t xml:space="preserve">.  </w:t>
      </w:r>
    </w:p>
    <w:p>
      <w:pPr>
        <w:pStyle w:val="BodyText"/>
        <w:rPr/>
      </w:pPr>
      <w:r>
        <w:rPr/>
        <w:t xml:space="preserve">The statements of intent by witnesses does not change the fact that the Comprehensive Settlement says what it says.  The Settlement, on its face, would require parties to use Altra and to pay a fee in order to take advantage of liberalized imbalance trading rules.  SCGC, at 83-85.  Either the Comprehensive Settlement parties have to change the Comprehensive Settlement, or the Commission will have to change it by fiat if the Comprehensive Settlement is to match what witnesses said was their intent.  </w:t>
      </w:r>
    </w:p>
    <w:p>
      <w:pPr>
        <w:pStyle w:val="Heading1"/>
        <w:ind w:hanging="0" w:start="0"/>
        <w:rPr>
          <w:u w:val="none"/>
        </w:rPr>
      </w:pPr>
      <w:bookmarkStart w:id="52" w:name="__RefHeading___Toc489684615"/>
      <w:bookmarkEnd w:id="52"/>
      <w:r>
        <w:rPr/>
        <w:t>THE INTERIM AND POST-INTERIM SETTLEMENTS CONFER ENOUGH BENEFITS ON CTAs AND PROPERLY ALLOCATE THE COSTS OF THOSE BENEFITS</w:t>
      </w:r>
      <w:r>
        <w:rPr>
          <w:u w:val="none"/>
        </w:rPr>
        <w:t>.</w:t>
      </w:r>
    </w:p>
    <w:p>
      <w:pPr>
        <w:pStyle w:val="BodyText"/>
        <w:rPr/>
      </w:pPr>
      <w:r>
        <w:rPr/>
        <w:t>In their brief, the core aggregators present a helpful listing of the maximum benefits that they would derive per dth under the Comprehensive Settlement:</w:t>
      </w:r>
    </w:p>
    <w:p>
      <w:pPr>
        <w:pStyle w:val="ListBullet31"/>
        <w:numPr>
          <w:ilvl w:val="0"/>
          <w:numId w:val="8"/>
        </w:numPr>
        <w:rPr/>
      </w:pPr>
      <w:r>
        <w:rPr/>
        <w:t>Core Interstate Capacity Unbundling:</w:t>
        <w:tab/>
        <w:t>$0.210</w:t>
      </w:r>
    </w:p>
    <w:p>
      <w:pPr>
        <w:pStyle w:val="ListBullet31"/>
        <w:numPr>
          <w:ilvl w:val="0"/>
          <w:numId w:val="8"/>
        </w:numPr>
        <w:rPr/>
      </w:pPr>
      <w:r>
        <w:rPr/>
        <w:t>Unbundled “backbone” transmission:</w:t>
        <w:tab/>
        <w:t>$0.072</w:t>
      </w:r>
    </w:p>
    <w:p>
      <w:pPr>
        <w:pStyle w:val="ListBullet31"/>
        <w:numPr>
          <w:ilvl w:val="0"/>
          <w:numId w:val="8"/>
        </w:numPr>
        <w:rPr/>
      </w:pPr>
      <w:r>
        <w:rPr/>
        <w:t>Core "reliability" storage unbundling:</w:t>
        <w:tab/>
        <w:t>$0.058</w:t>
      </w:r>
    </w:p>
    <w:p>
      <w:pPr>
        <w:pStyle w:val="ListBullet31"/>
        <w:numPr>
          <w:ilvl w:val="0"/>
          <w:numId w:val="8"/>
        </w:numPr>
        <w:rPr/>
      </w:pPr>
      <w:r>
        <w:rPr/>
        <w:t>Core "non-reliability" storage unbundling:</w:t>
        <w:tab/>
        <w:t>$0.023</w:t>
      </w:r>
    </w:p>
    <w:p>
      <w:pPr>
        <w:pStyle w:val="ListBullet31"/>
        <w:numPr>
          <w:ilvl w:val="0"/>
          <w:numId w:val="8"/>
        </w:numPr>
        <w:rPr/>
      </w:pPr>
      <w:r>
        <w:rPr/>
        <w:t>Unbundled balancing:</w:t>
        <w:tab/>
        <w:t>$0.016</w:t>
      </w:r>
    </w:p>
    <w:p>
      <w:pPr>
        <w:pStyle w:val="ListBullet31"/>
        <w:numPr>
          <w:ilvl w:val="0"/>
          <w:numId w:val="8"/>
        </w:numPr>
        <w:rPr/>
      </w:pPr>
      <w:r>
        <w:rPr/>
        <w:t>Unbundled core brokerage fee:</w:t>
        <w:tab/>
      </w:r>
      <w:r>
        <w:rPr>
          <w:u w:val="single"/>
        </w:rPr>
        <w:t>$0.024</w:t>
      </w:r>
    </w:p>
    <w:p>
      <w:pPr>
        <w:pStyle w:val="BodyText"/>
        <w:rPr/>
      </w:pPr>
      <w:r>
        <w:rPr/>
        <w:tab/>
        <w:tab/>
        <w:tab/>
        <w:tab/>
        <w:tab/>
        <w:tab/>
        <w:tab/>
        <w:tab/>
        <w:t xml:space="preserve">        $0.403</w:t>
      </w:r>
    </w:p>
    <w:p>
      <w:pPr>
        <w:pStyle w:val="BodyTextNoIndent"/>
        <w:rPr/>
      </w:pPr>
      <w:r>
        <w:rPr/>
        <w:t xml:space="preserve">Core Aggregators, at 15.  In addition to a maximum benefit of $0.403 per dth, the Comprehensive Settlement would also provide core aggregators with an unbundled billing credit for consolidated billing of $0.78 per account per month.  </w:t>
      </w:r>
    </w:p>
    <w:p>
      <w:pPr>
        <w:pStyle w:val="BodyTextNoIndent"/>
        <w:tabs>
          <w:tab w:val="left" w:pos="720" w:leader="none"/>
        </w:tabs>
        <w:ind w:firstLine="720" w:end="0"/>
        <w:rPr/>
      </w:pPr>
      <w:r>
        <w:rPr/>
        <w:t>By contrast, the Interim Settlement would provide CTAs with the benefit of interstate capacity unbundling, which would result in a benefit to CTAs of approximately $0.092 per dth, assuming 1999 SoCalGas BCAP throughput figures and assuming an allocation of core interstate capacity unbundling in accordance with the Post-Interim Settlement methodology.  SCGC, in 97.  Also, the Interim Settlement would unbundle nonreliability inventory and injection capacity, conferring another $0.029 per dth benefit on CTAs for a total of $0.121 per dth.  SoCalGas, at 46.</w:t>
      </w:r>
    </w:p>
    <w:p>
      <w:pPr>
        <w:pStyle w:val="BodyText"/>
        <w:rPr/>
      </w:pPr>
      <w:r>
        <w:rPr/>
        <w:t>The Comprehensive Settlement goes overboard in subsidizing CTAs.  The Post-Interim Settlement subsidy is lower primarily because of two factors.  (1) Under the Post-Interim Settlement the cost of core capacity unbundling is allocated primarily to those who benefit from unbundling, whereas under the Comprehensive Settlement 90 percent of the cost is allocated to core procurement customers.  TURN, at 19, 67.  (2) The Post-Interim Settlement does not unbundle "backbone" transmission, whereas the Comprehensive Settlement does.</w:t>
      </w:r>
    </w:p>
    <w:p>
      <w:pPr>
        <w:pStyle w:val="BodyText"/>
        <w:rPr/>
      </w:pPr>
      <w:r>
        <w:rPr/>
        <w:t>On both points (1) and (2) the Post-Interim Settlement approach is preferable.  It is appropriate for the costs of core capacity unbundling to follow benefits.  Also, "backbone" transmission unbundling would require CTAs either to acquire “backbone” transmission capacity at a high cost or to buy gas at the new downstream citygates at a higher price than at the border.  Neither the CTAs nor any customer should be consigned to that grim choice.</w:t>
      </w:r>
    </w:p>
    <w:p>
      <w:pPr>
        <w:pStyle w:val="BodyText"/>
        <w:rPr/>
      </w:pPr>
      <w:r>
        <w:rPr/>
        <w:t>The core aggregators contend that unless all portions of the Comprehensive Settlement that affect them are adopted, the Commission will "doom the core aggregation program to failure."  That is hyperbole.  In any event, regardless of the option chosen, the PG&amp;E experience indicates that, in reality, the likely outcome is that the core aggregation program would continue to enjoy a market penetration level that is not too different from the current level, 5 percent.  TURN, at 16-17; Tr. 778.</w:t>
      </w:r>
    </w:p>
    <w:p>
      <w:pPr>
        <w:pStyle w:val="Heading1"/>
        <w:ind w:hanging="0" w:start="0"/>
        <w:rPr>
          <w:u w:val="none"/>
        </w:rPr>
      </w:pPr>
      <w:bookmarkStart w:id="53" w:name="__RefHeading___Toc489684616"/>
      <w:bookmarkEnd w:id="53"/>
      <w:r>
        <w:rPr/>
        <w:t>INFORMATION DISCLOSURE RULE 8 DOES NOT "SUNSET" AT THE END OF 2000</w:t>
      </w:r>
      <w:r>
        <w:rPr>
          <w:u w:val="none"/>
        </w:rPr>
        <w:t>.</w:t>
      </w:r>
    </w:p>
    <w:p>
      <w:pPr>
        <w:pStyle w:val="BodyText"/>
        <w:rPr/>
      </w:pPr>
      <w:r>
        <w:rPr/>
        <w:t xml:space="preserve">The Comprehensive Settlement's rules on disclosing information about completed transactions are more restrictive than Federal Energy Regulatory Commission ("FERC") rules.  Thus, they are inconsistent with information disclosure Rule 8 as promulgated in D.97-04-010 (April 9, 1997):  "If Federal law requires disclosure of a competitor's information, the gas corporation shall then disclose the same information."  </w:t>
      </w:r>
      <w:r>
        <w:rPr>
          <w:i/>
        </w:rPr>
        <w:t>Ibid</w:t>
      </w:r>
      <w:r>
        <w:rPr/>
        <w:t xml:space="preserve">, slip op., App. A, 4.  </w:t>
      </w:r>
    </w:p>
    <w:p>
      <w:pPr>
        <w:pStyle w:val="BodyText"/>
        <w:rPr/>
      </w:pPr>
      <w:r>
        <w:rPr/>
        <w:t>SoCalGas contends that the inconsistency between Rule 8 and the Comprehensive Settlement rules is not a problem insofar as Rule 8 will go out of existence by January 1, 2001.  SoCalGas, at 59.  However, there is no sunset provision in D.97-06-110.  Thus, Rule 8 will continue to be enforced on January 1, 2001 and thereafter.  However, in order to allay further disputes about the applicability of Rule 8, SCGC requests that the Commission clarify that Rule 8 does survive the sunsetting of Section 489.1 of the California Public Utilities Code in this.</w:t>
      </w:r>
    </w:p>
    <w:p>
      <w:pPr>
        <w:pStyle w:val="Heading1"/>
        <w:ind w:hanging="0" w:start="0"/>
        <w:rPr>
          <w:u w:val="none"/>
        </w:rPr>
      </w:pPr>
      <w:bookmarkStart w:id="54" w:name="__RefHeading___Toc489684617"/>
      <w:bookmarkEnd w:id="54"/>
      <w:r>
        <w:rPr/>
        <w:t>THE COMPREHENSIVE SETTLEMENT PROPOSAL TO HAVE BOTH GAS OPERATIONS AND GAS ACQUISITION OFFER HUB SERVICES DIVERTS REVENUES FROM CUSTOMERS TO SHAREHOLDERS</w:t>
      </w:r>
      <w:r>
        <w:rPr>
          <w:u w:val="none"/>
        </w:rPr>
        <w:t>.</w:t>
      </w:r>
    </w:p>
    <w:p>
      <w:pPr>
        <w:pStyle w:val="BodyText"/>
        <w:rPr/>
      </w:pPr>
      <w:r>
        <w:rPr/>
        <w:t xml:space="preserve">The Comprehensive Settlement would permit SoCalGas’ Gas Acquisition department to provide hub services utilizing core assets, but the Comprehensive Settlement would also permit SoCalGas’ Gas Operations department to operate a hub that would utilize unutilized system assets.  Currently, only Gas Acquisition offers hub services.  Witness Florio testified that establishing the Gas Operations hub, from which revenues would flow to shareholders rather than customers, would divert funds from core procurement ratepayers to shareholders.  The underlying assumption was that the current Gas Acquisition hub operations, the revenues of which are passed through the Gas Cost Incentive Mechanism ("GCIM"), currently uses both core assets and system assets.  SoCalGas contends that this is an error.  SoCalGas, at 62.  </w:t>
      </w:r>
    </w:p>
    <w:p>
      <w:pPr>
        <w:pStyle w:val="BodyText"/>
        <w:rPr/>
      </w:pPr>
      <w:r>
        <w:rPr/>
        <w:t xml:space="preserve">SCGC, to the contrary, believes that Gas Acquisition has utilized both core assets and system assets such as flowing gas undifferentiated between core and noncore for the purpose of offering hub services.  It was on the basis of this belief that SCGC contended in the 1999 SoCalGas BCAP, A.98-10-012, that hub revenues should be allocated to reduce rates of all customer classes, albeit on an equal percent of marginal cost basis, which would flow over 85 percent of the revenues to the core class.  In order to reduce the promise of revenues from hub services from being an incentive for SoCalGas to manipulate customers to take hub services, SCGC proposed that </w:t>
      </w:r>
      <w:r>
        <w:rPr>
          <w:u w:val="single"/>
        </w:rPr>
        <w:t>all</w:t>
      </w:r>
      <w:r>
        <w:rPr/>
        <w:t xml:space="preserve"> revenues derived from hub services should flow to customers.  The decision in the BCAP, D.00-04-060, did not resolve these issues, stating:  "The issues that SCGC and SCE address related to hub services are being addressed in the Gas Industry Restructuring proceeding and should be resolved in that proceeding."  D.00-04-060, slip. op., at 147 (finding of fact 64).</w:t>
      </w:r>
    </w:p>
    <w:p>
      <w:pPr>
        <w:pStyle w:val="BodyText"/>
        <w:rPr/>
      </w:pPr>
      <w:r>
        <w:rPr/>
        <w:t>D.00-04-060 was issued too late for a record to be developed in this proceeding on the hub-related issues raised in this 1999 SoCalGas BCAP.  Thus, there is clearly an insufficient record in this proceeding to determine the extent to which Gas Acquisition currently uses system assets as well as core assets in providing hub services.  Likewise, there is an insufficient record to determine that hub revenues should go exclusively to ratepayers or to determine that such revenues should be allocated among ratepayer classes in an EPMC basis.  Accordingly, SCGC recommends that these issues be deferred to a later proceeding and that, for now, the Comprehensive Settlement proposal to funnel hub revenues to shareholders by creating a new Gas Operations hub be rejected.</w:t>
      </w:r>
    </w:p>
    <w:p>
      <w:pPr>
        <w:pStyle w:val="Heading1"/>
        <w:ind w:hanging="0" w:start="0"/>
        <w:rPr/>
      </w:pPr>
      <w:bookmarkStart w:id="55" w:name="__RefHeading___Toc489684618"/>
      <w:bookmarkEnd w:id="55"/>
      <w:r>
        <w:rPr/>
        <w:t>THE POST-INTERIM SETTLEMENT PROPOSAL TO SHARE ITCS COSTS 75/25 BETWEEN NONCORE RATE PAYERS AND SOCALGAS NEITHER VIOLATES THE GLOBAL SETTLEMENT NOR THE NANTAHALA DOCTRINE.</w:t>
      </w:r>
    </w:p>
    <w:p>
      <w:pPr>
        <w:pStyle w:val="BodyText"/>
        <w:rPr/>
      </w:pPr>
      <w:r>
        <w:rPr/>
        <w:t>The Post-Interim Settlement provides that ITCS costs shall be shared 75/25 between non-core ratepayers and SoCalGas, beginning January 1, 2002.  Ex. 100, at 7 (PSA § 4.2.1)</w:t>
      </w:r>
      <w:r>
        <w:fldChar w:fldCharType="begin"/>
      </w:r>
      <w:r>
        <w:rPr>
          <w:b/>
        </w:rPr>
        <w:instrText xml:space="preserve">l "Ex. 100, at 7 PSA § 4.2.1" \s "Ex. 100, at 7 PSA § 4.2.1" \c 3 </w:instrText>
      </w:r>
      <w:r>
        <w:rPr>
          <w:b/>
        </w:rPr>
      </w:r>
      <w:r>
        <w:rPr>
          <w:b/>
        </w:rPr>
        <w:fldChar w:fldCharType="separate"/>
      </w:r>
      <w:r>
        <w:rPr>
          <w:b/>
        </w:rPr>
        <w:t>Error! Bookmark not defined.</w:t>
      </w:r>
      <w:r>
        <w:rPr>
          <w:b/>
        </w:rPr>
      </w:r>
      <w:r>
        <w:rPr>
          <w:b/>
        </w:rPr>
        <w:fldChar w:fldCharType="end"/>
      </w:r>
      <w:r>
        <w:rPr/>
        <w:t xml:space="preserve">.  SoCalGas contends this violates the Global Settlement approved in D.94-04-088 and D.94-07-064.  Section III.2 of the Global Settlement provides : "The recovery of stranded interstate pipeline costs by SoCalGas through the ITCS shall be not be challenged in reasonableness reviews or any other proceeding as long as SoCalGas follows the brokering procedures established by the Commission and the FERC, and there in no evidence of ‘fraud or abuse.’”  D.94-07-064, Global Settlement, at 13.  However, the Global Settlement expired on July 31, 1999.  Thus, the quoted provision expired at that time.  Accordingly, the Commission may now adopt the Post-Interim Settlement proposal, which would take effect on January 1, 2002.  </w:t>
      </w:r>
    </w:p>
    <w:p>
      <w:pPr>
        <w:pStyle w:val="BodyText"/>
        <w:rPr/>
      </w:pPr>
      <w:r>
        <w:rPr/>
        <w:t xml:space="preserve">SoCalGas attempts to rebut SCGC's view that the Global Settlement provision has expired by pointing out that the appendix to the Global Settlement provided for an Interstate Transition Cost Surcharge Account (“ITCSA”)as follows:  </w:t>
      </w:r>
    </w:p>
    <w:p>
      <w:pPr>
        <w:pStyle w:val="Quote"/>
        <w:rPr/>
      </w:pPr>
      <w:r>
        <w:rPr/>
        <w:t xml:space="preserve">Section III (2) of the S&amp;SA specifies that the cost of stranded interstate pipeline capacity will continue to be captured in the ITCS.  The S&amp;SA requires that this account remain in place until the expiration of the currently effective service agreements with El Paso Natural Gas and Transwestern Pipeline.  The allocation of the balance in this account to the various customer classes is not affected by the S&amp;SA.  </w:t>
      </w:r>
    </w:p>
    <w:p>
      <w:pPr>
        <w:pStyle w:val="BodyTextNoIndent"/>
        <w:rPr/>
      </w:pPr>
      <w:r>
        <w:rPr/>
        <w:t xml:space="preserve">D.94-04-088, slip op., Appendix C.3.  </w:t>
      </w:r>
    </w:p>
    <w:p>
      <w:pPr>
        <w:pStyle w:val="BodyText"/>
        <w:rPr/>
      </w:pPr>
      <w:r>
        <w:rPr/>
        <w:t>SCGC is well aware of this provision.  By its terms, it does not apply to the allocation of costs linked to the ITCSA.  The provision requires that the ITCSA continue as long as there are costs to be captured in the account.  How costs that are captured in the account are to be allocated is a separate issue.  For example, in this very proceeding both the Comprehensive Settlement and the Post-Interim Settlement contain proposals to allocate the costs differently from how they have been allocated previously.  Thus, there is no basis for SoCalGas' claim that the quoted passage about continuation of the ITCSA indicates that the Global Settlement provision about the recovery stranded interstate pipeline costs by SoCalGas through ITCS will not be challenged in any proceeding.</w:t>
      </w:r>
    </w:p>
    <w:p>
      <w:pPr>
        <w:pStyle w:val="BodyText"/>
        <w:rPr/>
      </w:pPr>
      <w:r>
        <w:rPr/>
        <w:t xml:space="preserve">SoCalGas also contends that </w:t>
      </w:r>
      <w:r>
        <w:rPr>
          <w:u w:val="single"/>
        </w:rPr>
        <w:t>Nantahala Power &amp; Light Company v. Thornburg</w:t>
      </w:r>
      <w:r>
        <w:rPr/>
        <w:t>, 476 US 953 (1986) (</w:t>
      </w:r>
      <w:r>
        <w:rPr>
          <w:u w:val="single"/>
        </w:rPr>
        <w:t>Nantahala</w:t>
      </w:r>
      <w:r>
        <w:rPr/>
        <w:t xml:space="preserve">) prevents implementation of the 75/25 ITCS costs sharing provision of the Post-Interim Settlement.  SoCalGas quotes </w:t>
      </w:r>
      <w:r>
        <w:rPr>
          <w:u w:val="single"/>
        </w:rPr>
        <w:t>Nantahala</w:t>
      </w:r>
      <w:r>
        <w:rPr/>
        <w:t xml:space="preserve"> as stating:  "When FERC sets a rate between a seller of power and a wholesaler-as-buyer, a State may not exercise its undoubted jurisdiction over retail sales to prevent the wholesaler-as-seller from recovering the costs of paying the FERC-approved rate . . . .   Such a ‘trapping’ of costs is prohibited."  476 US, at 970.  </w:t>
      </w:r>
    </w:p>
    <w:p>
      <w:pPr>
        <w:pStyle w:val="BodyText"/>
        <w:rPr/>
      </w:pPr>
      <w:r>
        <w:rPr/>
        <w:t xml:space="preserve">The Post-Interim Settlement, however, would not violate the </w:t>
      </w:r>
      <w:r>
        <w:rPr>
          <w:u w:val="single"/>
        </w:rPr>
        <w:t>Nantahala</w:t>
      </w:r>
      <w:r>
        <w:rPr/>
        <w:t xml:space="preserve"> doctrine.  </w:t>
      </w:r>
      <w:r>
        <w:rPr>
          <w:u w:val="single"/>
        </w:rPr>
        <w:t>Nantahala</w:t>
      </w:r>
      <w:r>
        <w:rPr/>
        <w:t xml:space="preserve"> applies to situations in which a FERC-regulated entity charges a FERC-approved rate to a customer, thereby putting the customer in the position of either charging its retail customers or, alternatively, absorbing the costs.  Here, SoCalGas has two alternatives for recovering the costs charged by the relevant FERC-regulated entity, El Paso.  Either SoCalGas may sell its excess El Paso capacity on the open market, thereby recovering the costs associated with El Paso billings to SoCalGas for the capacity, or SoCalGas can charge its customers to recover the costs.  </w:t>
      </w:r>
    </w:p>
    <w:p>
      <w:pPr>
        <w:pStyle w:val="BodyText"/>
        <w:rPr/>
      </w:pPr>
      <w:r>
        <w:rPr/>
        <w:t xml:space="preserve">Furthermore, the feasibility of the market recovery option was recently enhanced by FERC Order 637, Docket No. RM98-10-000, REG.-PREAMBLE, FERC SR §31,091 (February 25, 2000).  Order 637 eliminating rate ceilings for short-term capacity release transactions.  </w:t>
      </w:r>
      <w:r>
        <w:rPr>
          <w:i/>
        </w:rPr>
        <w:t>Ibid</w:t>
      </w:r>
      <w:r>
        <w:rPr/>
        <w:t xml:space="preserve"> 31, 270, at seq.  That gives SoCalGas the opportunity not only to recover the cost of the El Paso capacity but, furthermore, to charge more than the rate charged to SoCalGas by El Paso, enabling SoCalGas to over-recover the El Paso costs.  Given that SoCalGas has two, not just one option for recovering the El Paso costs, and given that the market option has been enhanced to permit over-recovery by the FERC in Order 637, the Post-Interim Settlement would not result in the "trapping" of costs that </w:t>
      </w:r>
      <w:r>
        <w:rPr>
          <w:u w:val="single"/>
        </w:rPr>
        <w:t>Nantahala</w:t>
      </w:r>
      <w:r>
        <w:rPr/>
        <w:t xml:space="preserve"> prohibits.  </w:t>
      </w:r>
    </w:p>
    <w:p>
      <w:pPr>
        <w:pStyle w:val="Heading1"/>
        <w:ind w:hanging="0" w:start="0"/>
        <w:rPr/>
      </w:pPr>
      <w:bookmarkStart w:id="56" w:name="__RefHeading___Toc489684619"/>
      <w:bookmarkEnd w:id="56"/>
      <w:r>
        <w:rPr/>
        <w:t>THE LIFTING OF THE "10% CORE AGGREGATION" MARKET PENETRATION CAP SHOULD BE POSTPONED TO A LATER PROCEEDING</w:t>
      </w:r>
      <w:r>
        <w:rPr>
          <w:u w:val="none"/>
        </w:rPr>
        <w:t>.</w:t>
      </w:r>
    </w:p>
    <w:p>
      <w:pPr>
        <w:pStyle w:val="BodyText"/>
        <w:rPr/>
      </w:pPr>
      <w:r>
        <w:rPr/>
        <w:t>SoCalGas criticizes the Post-Interim Settlement for failing to address issues raised in the "retail" portion of Comprehensive Settlement.  SoCalGas, at 92-93.  Indeed, the parties to the Interim Settlement did not believe it was necessary to take a position on every issue in D.99-07-003.  As summarized by SoCalGas, the "retail" section of the Comprehensive Settlement addresses the following issues:</w:t>
      </w:r>
    </w:p>
    <w:p>
      <w:pPr>
        <w:pStyle w:val="BodyText"/>
        <w:numPr>
          <w:ilvl w:val="0"/>
          <w:numId w:val="12"/>
        </w:numPr>
        <w:tabs>
          <w:tab w:val="clear" w:pos="720"/>
          <w:tab w:val="left" w:pos="1080" w:leader="none"/>
        </w:tabs>
        <w:ind w:hanging="360" w:start="1080" w:end="0"/>
        <w:rPr/>
      </w:pPr>
      <w:r>
        <w:rPr/>
        <w:t>Elimination of the core aggregation 10 percent core participation cap (SoCalGas, at 99);</w:t>
      </w:r>
    </w:p>
    <w:p>
      <w:pPr>
        <w:pStyle w:val="BodyText"/>
        <w:numPr>
          <w:ilvl w:val="0"/>
          <w:numId w:val="12"/>
        </w:numPr>
        <w:tabs>
          <w:tab w:val="clear" w:pos="720"/>
          <w:tab w:val="left" w:pos="1080" w:leader="none"/>
        </w:tabs>
        <w:ind w:hanging="360" w:start="1080" w:end="0"/>
        <w:rPr/>
      </w:pPr>
      <w:r>
        <w:rPr/>
        <w:t>Utility furnishing of customer-specific consumption data (SoCalGas, at 101);</w:t>
      </w:r>
    </w:p>
    <w:p>
      <w:pPr>
        <w:pStyle w:val="BodyText"/>
        <w:numPr>
          <w:ilvl w:val="0"/>
          <w:numId w:val="12"/>
        </w:numPr>
        <w:tabs>
          <w:tab w:val="clear" w:pos="720"/>
          <w:tab w:val="left" w:pos="1080" w:leader="none"/>
        </w:tabs>
        <w:ind w:hanging="360" w:start="1080" w:end="0"/>
        <w:rPr/>
      </w:pPr>
      <w:r>
        <w:rPr/>
        <w:t>Utility consolidated billing (SoCalGas, at 102);</w:t>
      </w:r>
    </w:p>
    <w:p>
      <w:pPr>
        <w:pStyle w:val="BodyText"/>
        <w:numPr>
          <w:ilvl w:val="0"/>
          <w:numId w:val="12"/>
        </w:numPr>
        <w:tabs>
          <w:tab w:val="clear" w:pos="720"/>
          <w:tab w:val="left" w:pos="1080" w:leader="none"/>
        </w:tabs>
        <w:ind w:hanging="360" w:start="1080" w:end="0"/>
        <w:rPr/>
      </w:pPr>
      <w:r>
        <w:rPr/>
        <w:t>Termination of utility information-only bills (SoCalGas, at 104);</w:t>
      </w:r>
    </w:p>
    <w:p>
      <w:pPr>
        <w:pStyle w:val="BodyText"/>
        <w:numPr>
          <w:ilvl w:val="0"/>
          <w:numId w:val="12"/>
        </w:numPr>
        <w:tabs>
          <w:tab w:val="clear" w:pos="720"/>
          <w:tab w:val="left" w:pos="1080" w:leader="none"/>
        </w:tabs>
        <w:ind w:hanging="360" w:start="1080" w:end="0"/>
        <w:rPr/>
      </w:pPr>
      <w:r>
        <w:rPr/>
        <w:t>ESP consolidated billing avoided costs credits (SoCalGas, at 105);</w:t>
      </w:r>
    </w:p>
    <w:p>
      <w:pPr>
        <w:pStyle w:val="BodyText"/>
        <w:numPr>
          <w:ilvl w:val="0"/>
          <w:numId w:val="12"/>
        </w:numPr>
        <w:tabs>
          <w:tab w:val="clear" w:pos="720"/>
          <w:tab w:val="left" w:pos="1080" w:leader="none"/>
        </w:tabs>
        <w:ind w:hanging="360" w:start="1080" w:end="0"/>
        <w:rPr/>
      </w:pPr>
      <w:r>
        <w:rPr/>
        <w:t>Re-examination of the utility core procurement role (SoCalGas, at 107);</w:t>
      </w:r>
    </w:p>
    <w:p>
      <w:pPr>
        <w:pStyle w:val="BodyText"/>
        <w:numPr>
          <w:ilvl w:val="0"/>
          <w:numId w:val="12"/>
        </w:numPr>
        <w:tabs>
          <w:tab w:val="clear" w:pos="720"/>
          <w:tab w:val="left" w:pos="1080" w:leader="none"/>
        </w:tabs>
        <w:ind w:hanging="360" w:start="1080" w:end="0"/>
        <w:rPr/>
      </w:pPr>
      <w:r>
        <w:rPr/>
        <w:t>Increasing the core brokerage fee to 2.4 cents per dth (SoCalGas, at 108);</w:t>
      </w:r>
    </w:p>
    <w:p>
      <w:pPr>
        <w:pStyle w:val="BodyText"/>
        <w:numPr>
          <w:ilvl w:val="0"/>
          <w:numId w:val="12"/>
        </w:numPr>
        <w:tabs>
          <w:tab w:val="clear" w:pos="720"/>
          <w:tab w:val="left" w:pos="1080" w:leader="none"/>
        </w:tabs>
        <w:ind w:hanging="360" w:start="1080" w:end="0"/>
        <w:rPr/>
      </w:pPr>
      <w:r>
        <w:rPr/>
        <w:t>Elimination of the core subscription program (SoCalGas, at 109);</w:t>
      </w:r>
    </w:p>
    <w:p>
      <w:pPr>
        <w:pStyle w:val="BodyText"/>
        <w:numPr>
          <w:ilvl w:val="0"/>
          <w:numId w:val="12"/>
        </w:numPr>
        <w:tabs>
          <w:tab w:val="clear" w:pos="720"/>
          <w:tab w:val="left" w:pos="1080" w:leader="none"/>
        </w:tabs>
        <w:ind w:hanging="360" w:start="1080" w:end="0"/>
        <w:rPr/>
      </w:pPr>
      <w:r>
        <w:rPr/>
        <w:t>Reduce CTA volume threshold from 250,000 to 120,000 therms per year (SoCalGas, at 111); and</w:t>
      </w:r>
    </w:p>
    <w:p>
      <w:pPr>
        <w:pStyle w:val="BodyText"/>
        <w:numPr>
          <w:ilvl w:val="0"/>
          <w:numId w:val="12"/>
        </w:numPr>
        <w:tabs>
          <w:tab w:val="clear" w:pos="720"/>
          <w:tab w:val="left" w:pos="1080" w:leader="none"/>
        </w:tabs>
        <w:ind w:hanging="360" w:start="1080" w:end="0"/>
        <w:rPr/>
      </w:pPr>
      <w:r>
        <w:rPr/>
        <w:t>Pilot meter and meter add-on ownership program (SoCalGas, at 111).</w:t>
      </w:r>
    </w:p>
    <w:p>
      <w:pPr>
        <w:pStyle w:val="BodyText"/>
        <w:ind w:hanging="0" w:end="0"/>
        <w:rPr/>
      </w:pPr>
      <w:r>
        <w:rPr/>
        <w:t xml:space="preserve">SCGC has no position on these "retail" issues except for the provision eliminating the 10 percent cap on CTA penetration of the core market.  </w:t>
      </w:r>
    </w:p>
    <w:p>
      <w:pPr>
        <w:pStyle w:val="BodyText"/>
        <w:rPr/>
      </w:pPr>
      <w:r>
        <w:rPr/>
        <w:t xml:space="preserve">Given the benefits that Post-Interim Settlement would confer upon CTAs and the fact that  even under the Post-Interim Settlement a substantial portion of the costs of those benefits would flow to customers that do not participate in the CTA program, consideration of  lifting the 10 percent cap on core penetration should be deferred until after the reforms are implemented and an improved forecast of subsequent penetration levels is becomes available.  Simply lifting the current cap without establishing a fall-back cap could result in sharply escalating CTA subsidization costs with no checks on the escalation.  </w:t>
      </w:r>
    </w:p>
    <w:p>
      <w:pPr>
        <w:pStyle w:val="Heading1"/>
        <w:ind w:hanging="0" w:start="0"/>
        <w:rPr/>
      </w:pPr>
      <w:bookmarkStart w:id="57" w:name="__RefHeading___Toc489684620"/>
      <w:bookmarkEnd w:id="57"/>
      <w:r>
        <w:rPr/>
        <w:t>CONCLUSION</w:t>
      </w:r>
      <w:r>
        <w:rPr>
          <w:u w:val="none"/>
        </w:rPr>
        <w:t>.</w:t>
      </w:r>
    </w:p>
    <w:p>
      <w:pPr>
        <w:pStyle w:val="BodyText"/>
        <w:rPr/>
      </w:pPr>
      <w:r>
        <w:rPr/>
        <w:t xml:space="preserve">Therefore, for the reasons set forth above, SCGC respectfully requests that the Commission reject the Comprehensive Settlement and approve the Interim Settlement and Post-Interim Settlements.  Furthermore, SDGC requests, following DGS, that the Commission sever the subsequent provisions of the Interim Settlement from the balance of this case for early and </w:t>
      </w:r>
    </w:p>
    <w:p>
      <w:pPr>
        <w:pStyle w:val="BodyText"/>
        <w:rPr/>
      </w:pPr>
      <w:r>
        <w:rPr/>
      </w:r>
      <w:r>
        <w:br w:type="page"/>
      </w:r>
    </w:p>
    <w:p>
      <w:pPr>
        <w:pStyle w:val="BodyText"/>
        <w:ind w:hanging="0" w:end="0"/>
        <w:rPr/>
      </w:pPr>
      <w:r>
        <w:rPr/>
        <w:t xml:space="preserve">immediate implementation.  Lastly, SCGC requests that the Commission clarify that Rule 8 as promulgated in D.97-04-010 does not "sunset" as of December 31, 2000.  </w:t>
      </w:r>
    </w:p>
    <w:p>
      <w:pPr>
        <w:pStyle w:val="Signature"/>
        <w:rPr/>
      </w:pPr>
      <w:r>
        <w:rPr/>
        <w:t xml:space="preserve"> </w:t>
      </w:r>
      <w:r>
        <w:rPr/>
        <w:t>Respectfully submitted,</w:t>
        <w:br/>
        <w:br/>
        <w:br/>
        <w:t>__________________________________</w:t>
        <w:br/>
        <w:t>Norman A. Pedersen</w:t>
        <w:br/>
        <w:t>JONES, DAY, REAVIS &amp; POGUE</w:t>
        <w:br/>
        <w:t>555 West Fifth Street</w:t>
        <w:br/>
        <w:t>Suite 4600</w:t>
        <w:br/>
        <w:t>Los Angeles, California 90013-1025</w:t>
        <w:br/>
        <w:t>Telephone: (213) 489-3939</w:t>
        <w:br/>
        <w:t>Facsimile:  (213) 243-2539</w:t>
        <w:br/>
      </w:r>
    </w:p>
    <w:p>
      <w:pPr>
        <w:sectPr>
          <w:footerReference w:type="default" r:id="rId5"/>
          <w:footerReference w:type="first" r:id="rId6"/>
          <w:type w:val="nextPage"/>
          <w:pgSz w:w="12240" w:h="15840"/>
          <w:pgMar w:left="1440" w:right="1440" w:gutter="0" w:header="0" w:top="1440" w:footer="432" w:bottom="1440"/>
          <w:pgNumType w:start="1" w:fmt="decimal"/>
          <w:formProt w:val="false"/>
          <w:titlePg/>
          <w:textDirection w:val="lrTb"/>
          <w:docGrid w:type="default" w:linePitch="360" w:charSpace="0"/>
        </w:sectPr>
        <w:pStyle w:val="BodyText"/>
        <w:tabs>
          <w:tab w:val="clear" w:pos="720"/>
          <w:tab w:val="left" w:pos="4680" w:leader="none"/>
        </w:tabs>
        <w:spacing w:lineRule="auto" w:line="240"/>
        <w:ind w:hanging="4680" w:start="4680" w:end="0"/>
        <w:rPr/>
      </w:pPr>
      <w:r>
        <w:rPr/>
        <w:t>Dated:  July 31, 2000</w:t>
        <w:tab/>
        <w:t xml:space="preserve">Attorneys for </w:t>
      </w:r>
      <w:r>
        <w:rPr>
          <w:b/>
        </w:rPr>
        <w:t>SOUTHERN CALIFORNIA</w:t>
        <w:br/>
        <w:t>GENERATION COALITION</w:t>
      </w:r>
    </w:p>
    <w:p>
      <w:pPr>
        <w:pStyle w:val="BodyText"/>
        <w:jc w:val="center"/>
        <w:rPr>
          <w:b/>
          <w:u w:val="single"/>
        </w:rPr>
      </w:pPr>
      <w:r>
        <w:rPr>
          <w:b/>
          <w:u w:val="single"/>
        </w:rPr>
        <w:t>CERTIFICATE OF SERVICE</w:t>
      </w:r>
    </w:p>
    <w:p>
      <w:pPr>
        <w:pStyle w:val="BodyText"/>
        <w:rPr/>
      </w:pPr>
      <w:r>
        <w:rPr/>
        <w:t>I hereby certify that I have this day served a copy of the</w:t>
      </w:r>
      <w:r>
        <w:rPr>
          <w:b/>
        </w:rPr>
        <w:t xml:space="preserve"> Southern California Generation Coalition Reply Brief </w:t>
      </w:r>
      <w:r>
        <w:rPr/>
        <w:t>on the service list for</w:t>
      </w:r>
      <w:r>
        <w:rPr>
          <w:b/>
        </w:rPr>
        <w:t xml:space="preserve"> I.99-07-003</w:t>
      </w:r>
      <w:r>
        <w:rPr/>
        <w:t xml:space="preserve"> by mailing a properly addressed copy by first-class mail with postage prepaid to each party.</w:t>
      </w:r>
    </w:p>
    <w:p>
      <w:pPr>
        <w:pStyle w:val="BodyText"/>
        <w:spacing w:before="0" w:after="600"/>
        <w:rPr/>
      </w:pPr>
      <w:r>
        <w:rPr/>
        <w:t>Executed on July 31, 2000, at Los Angeles, California.</w:t>
      </w:r>
    </w:p>
    <w:p>
      <w:pPr>
        <w:pStyle w:val="BodyText"/>
        <w:ind w:firstLine="5040" w:end="0"/>
        <w:rPr/>
      </w:pPr>
      <w:r>
        <w:rPr/>
        <w:t>______________________________</w:t>
      </w:r>
    </w:p>
    <w:p>
      <w:pPr>
        <w:sectPr>
          <w:footerReference w:type="default" r:id="rId7"/>
          <w:footerReference w:type="first" r:id="rId8"/>
          <w:type w:val="nextPage"/>
          <w:pgSz w:w="12240" w:h="15840"/>
          <w:pgMar w:left="1440" w:right="1440" w:gutter="0" w:header="0" w:top="1440" w:footer="432" w:bottom="1440"/>
          <w:pgNumType w:start="1" w:fmt="decimal"/>
          <w:formProt w:val="false"/>
          <w:titlePg/>
          <w:textDirection w:val="lrTb"/>
          <w:docGrid w:type="default" w:linePitch="360" w:charSpace="0"/>
        </w:sectPr>
        <w:pStyle w:val="BodyText"/>
        <w:rPr/>
      </w:pPr>
      <w:r>
        <w:rPr/>
      </w:r>
    </w:p>
    <w:p>
      <w:pPr>
        <w:pStyle w:val="BodyText"/>
        <w:jc w:val="center"/>
        <w:rPr>
          <w:b/>
          <w:u w:val="single"/>
        </w:rPr>
      </w:pPr>
      <w:r>
        <w:rPr>
          <w:b/>
          <w:u w:val="single"/>
        </w:rPr>
        <w:t>TABLE OF CONTENTS</w:t>
      </w:r>
    </w:p>
    <w:p>
      <w:pPr>
        <w:pStyle w:val="BodyText"/>
        <w:ind w:end="-144"/>
        <w:jc w:val="end"/>
        <w:rPr/>
      </w:pPr>
      <w:r>
        <w:rPr/>
        <w:t>Page No.</w:t>
      </w:r>
    </w:p>
    <w:sdt>
      <w:sdtPr>
        <w:docPartObj>
          <w:docPartGallery w:val="Table of Contents"/>
          <w:docPartUnique w:val="true"/>
        </w:docPartObj>
      </w:sdtPr>
      <w:sdtContent>
        <w:p>
          <w:pPr>
            <w:pStyle w:val="TOC1"/>
            <w:rPr>
              <w:sz w:val="22"/>
            </w:rPr>
          </w:pPr>
          <w:r>
            <w:fldChar w:fldCharType="begin"/>
          </w:r>
          <w:r>
            <w:rPr>
              <w:sz w:val="22"/>
              <w:color w:val="000000"/>
            </w:rPr>
            <w:instrText xml:space="preserve"> TOC \o "3-4" \t "Heading 1,1,Heading 2,2" </w:instrText>
          </w:r>
          <w:r>
            <w:rPr>
              <w:sz w:val="22"/>
              <w:color w:val="000000"/>
            </w:rPr>
            <w:fldChar w:fldCharType="separate"/>
          </w:r>
          <w:r>
            <w:rPr>
              <w:color w:val="000000"/>
              <w:sz w:val="22"/>
            </w:rPr>
            <w:t>I.</w:t>
          </w:r>
          <w:r>
            <w:rPr>
              <w:sz w:val="22"/>
            </w:rPr>
            <w:tab/>
            <w:t>INTRODUCTION</w:t>
            <w:tab/>
          </w:r>
          <w:hyperlink w:anchor="__RefHeading___Toc489684564">
            <w:r>
              <w:rPr>
                <w:rStyle w:val="IndexLink"/>
                <w:sz w:val="22"/>
              </w:rPr>
              <w:t>2</w:t>
            </w:r>
          </w:hyperlink>
        </w:p>
        <w:p>
          <w:pPr>
            <w:pStyle w:val="TOC2"/>
            <w:tabs>
              <w:tab w:val="left" w:pos="720" w:leader="none"/>
              <w:tab w:val="left" w:pos="1440" w:leader="none"/>
              <w:tab w:val="right" w:pos="9350" w:leader="dot"/>
            </w:tabs>
            <w:rPr>
              <w:sz w:val="22"/>
            </w:rPr>
          </w:pPr>
          <w:r>
            <w:rPr>
              <w:sz w:val="22"/>
            </w:rPr>
            <w:t>A.</w:t>
            <w:tab/>
            <w:t>The Comprehensive Settlement is Strongly Opposed by Customers.</w:t>
            <w:tab/>
          </w:r>
          <w:hyperlink w:anchor="__RefHeading___Toc489684565">
            <w:r>
              <w:rPr>
                <w:rStyle w:val="IndexLink"/>
                <w:sz w:val="22"/>
              </w:rPr>
              <w:t>3</w:t>
            </w:r>
          </w:hyperlink>
        </w:p>
        <w:p>
          <w:pPr>
            <w:pStyle w:val="TOC2"/>
            <w:tabs>
              <w:tab w:val="left" w:pos="720" w:leader="none"/>
              <w:tab w:val="left" w:pos="1440" w:leader="none"/>
              <w:tab w:val="right" w:pos="9350" w:leader="dot"/>
            </w:tabs>
            <w:rPr>
              <w:sz w:val="22"/>
            </w:rPr>
          </w:pPr>
          <w:r>
            <w:rPr>
              <w:sz w:val="22"/>
            </w:rPr>
            <w:t>B.</w:t>
            <w:tab/>
            <w:t>Outline of this Reply Brief</w:t>
            <w:tab/>
          </w:r>
          <w:hyperlink w:anchor="__RefHeading___Toc489684566">
            <w:r>
              <w:rPr>
                <w:rStyle w:val="IndexLink"/>
                <w:sz w:val="22"/>
              </w:rPr>
              <w:t>4</w:t>
            </w:r>
          </w:hyperlink>
        </w:p>
        <w:p>
          <w:pPr>
            <w:pStyle w:val="TOC1"/>
            <w:rPr>
              <w:sz w:val="22"/>
            </w:rPr>
          </w:pPr>
          <w:r>
            <w:rPr>
              <w:color w:val="000000"/>
              <w:sz w:val="22"/>
            </w:rPr>
            <w:t>II.</w:t>
          </w:r>
          <w:r>
            <w:rPr>
              <w:sz w:val="22"/>
            </w:rPr>
            <w:tab/>
            <w:t xml:space="preserve">THE UNCONTROVERTED SUBSTANTIVE FEATURES OF THE INTERIM </w:t>
            <w:br/>
            <w:t>SETTLEMENT SHOULD BE IMPLEMENTED PROMPTLY.</w:t>
            <w:tab/>
          </w:r>
          <w:hyperlink w:anchor="__RefHeading___Toc489684567">
            <w:r>
              <w:rPr>
                <w:rStyle w:val="IndexLink"/>
                <w:sz w:val="22"/>
              </w:rPr>
              <w:t>5</w:t>
            </w:r>
          </w:hyperlink>
        </w:p>
        <w:p>
          <w:pPr>
            <w:pStyle w:val="TOC2"/>
            <w:tabs>
              <w:tab w:val="left" w:pos="720" w:leader="none"/>
              <w:tab w:val="left" w:pos="1440" w:leader="none"/>
              <w:tab w:val="right" w:pos="9350" w:leader="dot"/>
            </w:tabs>
            <w:rPr>
              <w:sz w:val="22"/>
            </w:rPr>
          </w:pPr>
          <w:r>
            <w:rPr>
              <w:sz w:val="22"/>
            </w:rPr>
            <w:t>A.</w:t>
            <w:tab/>
            <w:t>The Sole Objection By One Party to a Single Provision in the Interim Settlement Can Be Handled in a Variety Of Ways Without Stalling Implementation of the Other Substantive Reforms.</w:t>
            <w:tab/>
          </w:r>
          <w:hyperlink w:anchor="__RefHeading___Toc489684568">
            <w:r>
              <w:rPr>
                <w:rStyle w:val="IndexLink"/>
                <w:sz w:val="22"/>
              </w:rPr>
              <w:t>6</w:t>
            </w:r>
          </w:hyperlink>
        </w:p>
        <w:p>
          <w:pPr>
            <w:pStyle w:val="TOC2"/>
            <w:tabs>
              <w:tab w:val="left" w:pos="720" w:leader="none"/>
              <w:tab w:val="left" w:pos="1440" w:leader="none"/>
              <w:tab w:val="right" w:pos="9350" w:leader="dot"/>
            </w:tabs>
            <w:rPr>
              <w:sz w:val="22"/>
            </w:rPr>
          </w:pPr>
          <w:r>
            <w:rPr>
              <w:sz w:val="22"/>
            </w:rPr>
            <w:t>B.</w:t>
            <w:tab/>
            <w:t xml:space="preserve">The Procedural Provisions of the Interim Settlement Are Either </w:t>
            <w:br/>
            <w:t>Moot or Can Be Phased for Implementation at a Later Date.</w:t>
            <w:tab/>
          </w:r>
          <w:hyperlink w:anchor="__RefHeading___Toc489684569">
            <w:r>
              <w:rPr>
                <w:rStyle w:val="IndexLink"/>
                <w:sz w:val="22"/>
              </w:rPr>
              <w:t>7</w:t>
            </w:r>
          </w:hyperlink>
        </w:p>
        <w:p>
          <w:pPr>
            <w:pStyle w:val="TOC2"/>
            <w:tabs>
              <w:tab w:val="left" w:pos="720" w:leader="none"/>
              <w:tab w:val="left" w:pos="1440" w:leader="none"/>
              <w:tab w:val="right" w:pos="9350" w:leader="dot"/>
            </w:tabs>
            <w:rPr>
              <w:sz w:val="22"/>
            </w:rPr>
          </w:pPr>
          <w:r>
            <w:rPr>
              <w:sz w:val="22"/>
            </w:rPr>
            <w:t>C.</w:t>
            <w:tab/>
            <w:t>Generators Need Prompt Implementation of the Substantive Interim Settlement Reforms.</w:t>
            <w:tab/>
          </w:r>
          <w:hyperlink w:anchor="__RefHeading___Toc489684570">
            <w:r>
              <w:rPr>
                <w:rStyle w:val="IndexLink"/>
                <w:sz w:val="22"/>
              </w:rPr>
              <w:t>8</w:t>
            </w:r>
          </w:hyperlink>
        </w:p>
        <w:p>
          <w:pPr>
            <w:pStyle w:val="TOC1"/>
            <w:rPr>
              <w:sz w:val="22"/>
            </w:rPr>
          </w:pPr>
          <w:r>
            <w:rPr>
              <w:color w:val="000000"/>
              <w:sz w:val="22"/>
            </w:rPr>
            <w:t>III.</w:t>
          </w:r>
          <w:r>
            <w:rPr>
              <w:sz w:val="22"/>
            </w:rPr>
            <w:tab/>
            <w:t>STATEWIDE CONSISTENCY IS NOT A COMPELLING GOAL, AND IT IS NOT ACHIEVED BY THE COMPREHENSIVE SETTLEMENT.</w:t>
            <w:tab/>
          </w:r>
          <w:hyperlink w:anchor="__RefHeading___Toc489684571">
            <w:r>
              <w:rPr>
                <w:rStyle w:val="IndexLink"/>
                <w:sz w:val="22"/>
              </w:rPr>
              <w:t>9</w:t>
            </w:r>
          </w:hyperlink>
        </w:p>
        <w:p>
          <w:pPr>
            <w:pStyle w:val="TOC2"/>
            <w:tabs>
              <w:tab w:val="left" w:pos="720" w:leader="none"/>
              <w:tab w:val="left" w:pos="1440" w:leader="none"/>
              <w:tab w:val="right" w:pos="9350" w:leader="dot"/>
            </w:tabs>
            <w:rPr>
              <w:sz w:val="22"/>
            </w:rPr>
          </w:pPr>
          <w:r>
            <w:rPr>
              <w:sz w:val="22"/>
            </w:rPr>
            <w:t>A.</w:t>
            <w:tab/>
            <w:t>Statewide Consistency Is Not a Compelling Goal.</w:t>
            <w:tab/>
          </w:r>
          <w:hyperlink w:anchor="__RefHeading___Toc489684572">
            <w:r>
              <w:rPr>
                <w:rStyle w:val="IndexLink"/>
                <w:sz w:val="22"/>
              </w:rPr>
              <w:t>9</w:t>
            </w:r>
          </w:hyperlink>
        </w:p>
        <w:p>
          <w:pPr>
            <w:pStyle w:val="TOC2"/>
            <w:tabs>
              <w:tab w:val="left" w:pos="720" w:leader="none"/>
              <w:tab w:val="left" w:pos="1440" w:leader="none"/>
              <w:tab w:val="right" w:pos="9350" w:leader="dot"/>
            </w:tabs>
            <w:rPr>
              <w:sz w:val="22"/>
            </w:rPr>
          </w:pPr>
          <w:r>
            <w:rPr>
              <w:sz w:val="22"/>
            </w:rPr>
            <w:t>B.</w:t>
            <w:tab/>
            <w:t xml:space="preserve">The Comprehensive Settlement Fails to Achieve Statewide </w:t>
            <w:br/>
            <w:t>Consistency.</w:t>
            <w:tab/>
          </w:r>
          <w:hyperlink w:anchor="__RefHeading___Toc489684573">
            <w:r>
              <w:rPr>
                <w:rStyle w:val="IndexLink"/>
                <w:sz w:val="22"/>
              </w:rPr>
              <w:t>10</w:t>
            </w:r>
          </w:hyperlink>
        </w:p>
        <w:p>
          <w:pPr>
            <w:pStyle w:val="TOC1"/>
            <w:rPr>
              <w:sz w:val="22"/>
            </w:rPr>
          </w:pPr>
          <w:r>
            <w:rPr>
              <w:color w:val="000000"/>
              <w:sz w:val="22"/>
            </w:rPr>
            <w:t>IV.</w:t>
          </w:r>
          <w:r>
            <w:rPr>
              <w:sz w:val="22"/>
            </w:rPr>
            <w:tab/>
            <w:t xml:space="preserve">THIS PROCEEDING WAS INSTITUTED TO DETERMINE WHICH MOST </w:t>
            <w:br/>
            <w:t xml:space="preserve">PROMISING OPTIONS SHOULD BE ACCOMPLISHED, NOT TO ADOPT </w:t>
            <w:br/>
            <w:t>ALL OPTIONS REGARDLESS OF COST.</w:t>
            <w:tab/>
          </w:r>
          <w:hyperlink w:anchor="__RefHeading___Toc489684574">
            <w:r>
              <w:rPr>
                <w:rStyle w:val="IndexLink"/>
                <w:sz w:val="22"/>
              </w:rPr>
              <w:t>11</w:t>
            </w:r>
          </w:hyperlink>
        </w:p>
        <w:p>
          <w:pPr>
            <w:pStyle w:val="TOC1"/>
            <w:rPr>
              <w:sz w:val="22"/>
            </w:rPr>
          </w:pPr>
          <w:r>
            <w:rPr>
              <w:color w:val="000000"/>
              <w:sz w:val="22"/>
            </w:rPr>
            <w:t>V.</w:t>
          </w:r>
          <w:r>
            <w:rPr>
              <w:sz w:val="22"/>
            </w:rPr>
            <w:tab/>
            <w:t xml:space="preserve">THE COST OF THE COMPREHENSIVE SETTLEMENT PROVISIONS </w:t>
            <w:br/>
            <w:t>OUTWEIGHS THE BENEFITS.</w:t>
            <w:tab/>
          </w:r>
          <w:hyperlink w:anchor="__RefHeading___Toc489684575">
            <w:r>
              <w:rPr>
                <w:rStyle w:val="IndexLink"/>
                <w:sz w:val="22"/>
              </w:rPr>
              <w:t>12</w:t>
            </w:r>
          </w:hyperlink>
        </w:p>
        <w:p>
          <w:pPr>
            <w:pStyle w:val="TOC2"/>
            <w:tabs>
              <w:tab w:val="left" w:pos="720" w:leader="none"/>
              <w:tab w:val="left" w:pos="1440" w:leader="none"/>
              <w:tab w:val="right" w:pos="9350" w:leader="dot"/>
            </w:tabs>
            <w:rPr>
              <w:sz w:val="22"/>
            </w:rPr>
          </w:pPr>
          <w:r>
            <w:rPr>
              <w:sz w:val="22"/>
            </w:rPr>
            <w:t>A.</w:t>
            <w:tab/>
            <w:t xml:space="preserve">The Costs of the Comprehensive Settlement Outweigh the </w:t>
            <w:br/>
            <w:t>Benefits for the Core.</w:t>
            <w:tab/>
          </w:r>
          <w:hyperlink w:anchor="__RefHeading___Toc489684576">
            <w:r>
              <w:rPr>
                <w:rStyle w:val="IndexLink"/>
                <w:sz w:val="22"/>
              </w:rPr>
              <w:t>12</w:t>
            </w:r>
          </w:hyperlink>
        </w:p>
        <w:p>
          <w:pPr>
            <w:pStyle w:val="TOC3"/>
            <w:tabs>
              <w:tab w:val="left" w:pos="1440" w:leader="none"/>
              <w:tab w:val="left" w:pos="2160" w:leader="none"/>
              <w:tab w:val="right" w:pos="9350" w:leader="dot"/>
            </w:tabs>
            <w:rPr>
              <w:sz w:val="22"/>
            </w:rPr>
          </w:pPr>
          <w:r>
            <w:rPr>
              <w:sz w:val="22"/>
            </w:rPr>
            <w:t>1.</w:t>
            <w:tab/>
            <w:t xml:space="preserve">If the Elimination of the Core ITCS Contribution Is Put Aside </w:t>
            <w:br/>
            <w:t xml:space="preserve">as a Common Element, the Comprehensive Settlement </w:t>
            <w:br/>
            <w:t>Raises Core Rates.</w:t>
            <w:tab/>
          </w:r>
          <w:hyperlink w:anchor="__RefHeading___Toc489684577">
            <w:r>
              <w:rPr>
                <w:rStyle w:val="IndexLink"/>
                <w:sz w:val="22"/>
              </w:rPr>
              <w:t>12</w:t>
            </w:r>
          </w:hyperlink>
        </w:p>
        <w:p>
          <w:pPr>
            <w:pStyle w:val="TOC3"/>
            <w:tabs>
              <w:tab w:val="left" w:pos="1440" w:leader="none"/>
              <w:tab w:val="left" w:pos="2160" w:leader="none"/>
              <w:tab w:val="right" w:pos="9350" w:leader="dot"/>
            </w:tabs>
            <w:rPr>
              <w:sz w:val="22"/>
            </w:rPr>
          </w:pPr>
          <w:r>
            <w:rPr>
              <w:sz w:val="22"/>
            </w:rPr>
            <w:t>2.</w:t>
            <w:tab/>
            <w:t xml:space="preserve">If Elimination of Customer Responsibility for Storage Stranded </w:t>
            <w:br/>
            <w:t xml:space="preserve">Costs Is Put Aside as a Common Element, the Comprehensive </w:t>
            <w:br/>
            <w:t>Settlement Raises Core Rates Even Further.</w:t>
            <w:tab/>
          </w:r>
          <w:hyperlink w:anchor="__RefHeading___Toc489684578">
            <w:r>
              <w:rPr>
                <w:rStyle w:val="IndexLink"/>
                <w:sz w:val="22"/>
              </w:rPr>
              <w:t>13</w:t>
            </w:r>
          </w:hyperlink>
        </w:p>
        <w:p>
          <w:pPr>
            <w:pStyle w:val="TOC3"/>
            <w:tabs>
              <w:tab w:val="left" w:pos="1440" w:leader="none"/>
              <w:tab w:val="left" w:pos="2160" w:leader="none"/>
              <w:tab w:val="right" w:pos="9350" w:leader="dot"/>
            </w:tabs>
            <w:rPr>
              <w:sz w:val="22"/>
            </w:rPr>
          </w:pPr>
          <w:r>
            <w:rPr>
              <w:sz w:val="22"/>
            </w:rPr>
            <w:t>3.</w:t>
            <w:tab/>
            <w:t xml:space="preserve">The Comprehensive Settlement Takes Value Away from the Core </w:t>
            <w:br/>
            <w:t xml:space="preserve">by Reducing Core Assets and Benefits of System Wide </w:t>
            <w:br/>
            <w:t>Operations Without a Corresponding Rate Benefit.</w:t>
            <w:tab/>
          </w:r>
          <w:hyperlink w:anchor="__RefHeading___Toc489684579">
            <w:r>
              <w:rPr>
                <w:rStyle w:val="IndexLink"/>
                <w:sz w:val="22"/>
              </w:rPr>
              <w:t>13</w:t>
            </w:r>
          </w:hyperlink>
        </w:p>
        <w:p>
          <w:pPr>
            <w:pStyle w:val="TOC4"/>
            <w:rPr/>
          </w:pPr>
          <w:r>
            <w:rPr>
              <w:color w:val="000000"/>
            </w:rPr>
            <w:t>a.</w:t>
          </w:r>
          <w:r>
            <w:rPr/>
            <w:tab/>
            <w:t>The Comprehensive Settlement Shifts Costs to the Core.</w:t>
            <w:tab/>
          </w:r>
          <w:hyperlink w:anchor="__RefHeading___Toc489684580">
            <w:r>
              <w:rPr>
                <w:rStyle w:val="IndexLink"/>
              </w:rPr>
              <w:t>14</w:t>
            </w:r>
          </w:hyperlink>
        </w:p>
        <w:p>
          <w:pPr>
            <w:pStyle w:val="TOC4"/>
            <w:rPr/>
          </w:pPr>
          <w:r>
            <w:rPr>
              <w:color w:val="000000"/>
            </w:rPr>
            <w:t>b.</w:t>
          </w:r>
          <w:r>
            <w:rPr/>
            <w:tab/>
            <w:t xml:space="preserve">The Comprehensive Settlement Offsets Cost Shifts to the Core by </w:t>
            <w:br/>
            <w:t>Reducing Core Assets.</w:t>
            <w:tab/>
          </w:r>
          <w:hyperlink w:anchor="__RefHeading___Toc489684581">
            <w:r>
              <w:rPr>
                <w:rStyle w:val="IndexLink"/>
              </w:rPr>
              <w:t>14</w:t>
            </w:r>
          </w:hyperlink>
        </w:p>
        <w:p>
          <w:pPr>
            <w:pStyle w:val="TOC4"/>
            <w:rPr/>
          </w:pPr>
          <w:r>
            <w:rPr>
              <w:color w:val="000000"/>
            </w:rPr>
            <w:t>c.</w:t>
          </w:r>
          <w:r>
            <w:rPr/>
            <w:tab/>
            <w:t xml:space="preserve">The Lost Assets and Benefits have Value that Would be Costly for the </w:t>
            <w:br/>
            <w:t>Core to Regain.</w:t>
            <w:tab/>
          </w:r>
          <w:hyperlink w:anchor="__RefHeading___Toc489684582">
            <w:r>
              <w:rPr>
                <w:rStyle w:val="IndexLink"/>
              </w:rPr>
              <w:t>16</w:t>
            </w:r>
          </w:hyperlink>
        </w:p>
        <w:p>
          <w:pPr>
            <w:pStyle w:val="TOC2"/>
            <w:tabs>
              <w:tab w:val="left" w:pos="720" w:leader="none"/>
              <w:tab w:val="left" w:pos="1440" w:leader="none"/>
              <w:tab w:val="right" w:pos="9350" w:leader="dot"/>
            </w:tabs>
            <w:rPr>
              <w:sz w:val="22"/>
            </w:rPr>
          </w:pPr>
          <w:r>
            <w:rPr>
              <w:sz w:val="22"/>
            </w:rPr>
            <w:t>B.</w:t>
            <w:tab/>
            <w:t xml:space="preserve">The Costs of the Comprehensive Settlement Outweigh the </w:t>
            <w:br/>
            <w:t>Benefits for the Noncore.</w:t>
            <w:tab/>
          </w:r>
          <w:hyperlink w:anchor="__RefHeading___Toc489684583">
            <w:r>
              <w:rPr>
                <w:rStyle w:val="IndexLink"/>
                <w:sz w:val="22"/>
              </w:rPr>
              <w:t>18</w:t>
            </w:r>
          </w:hyperlink>
        </w:p>
        <w:p>
          <w:pPr>
            <w:pStyle w:val="TOC3"/>
            <w:tabs>
              <w:tab w:val="left" w:pos="1440" w:leader="none"/>
              <w:tab w:val="left" w:pos="2160" w:leader="none"/>
              <w:tab w:val="right" w:pos="9350" w:leader="dot"/>
            </w:tabs>
            <w:rPr>
              <w:sz w:val="22"/>
            </w:rPr>
          </w:pPr>
          <w:r>
            <w:rPr>
              <w:sz w:val="22"/>
            </w:rPr>
            <w:t>1.</w:t>
            <w:tab/>
            <w:t xml:space="preserve">In Addition to Bearing the Reallocation of ITCS Costs, the </w:t>
            <w:br/>
            <w:t xml:space="preserve">Noncore Bears up to $7.0 Million to Cover CTA Interstate </w:t>
            <w:br/>
            <w:t>Capacity Unbundling Costs.</w:t>
            <w:tab/>
          </w:r>
          <w:hyperlink w:anchor="__RefHeading___Toc489684584">
            <w:r>
              <w:rPr>
                <w:rStyle w:val="IndexLink"/>
                <w:sz w:val="22"/>
              </w:rPr>
              <w:t>18</w:t>
            </w:r>
          </w:hyperlink>
        </w:p>
        <w:p>
          <w:pPr>
            <w:pStyle w:val="TOC3"/>
            <w:tabs>
              <w:tab w:val="left" w:pos="1440" w:leader="none"/>
              <w:tab w:val="left" w:pos="2160" w:leader="none"/>
              <w:tab w:val="right" w:pos="9350" w:leader="dot"/>
            </w:tabs>
            <w:rPr>
              <w:sz w:val="22"/>
            </w:rPr>
          </w:pPr>
          <w:r>
            <w:rPr>
              <w:sz w:val="22"/>
            </w:rPr>
            <w:t>2.</w:t>
            <w:tab/>
            <w:t>The Noncore Would Be Required to Bear Yet Further Costs by the Comprehensive Settlement.</w:t>
            <w:tab/>
          </w:r>
          <w:hyperlink w:anchor="__RefHeading___Toc489684585">
            <w:r>
              <w:rPr>
                <w:rStyle w:val="IndexLink"/>
                <w:sz w:val="22"/>
              </w:rPr>
              <w:t>18</w:t>
            </w:r>
          </w:hyperlink>
        </w:p>
        <w:p>
          <w:pPr>
            <w:pStyle w:val="TOC1"/>
            <w:rPr>
              <w:sz w:val="22"/>
            </w:rPr>
          </w:pPr>
          <w:r>
            <w:rPr>
              <w:color w:val="000000"/>
              <w:sz w:val="22"/>
            </w:rPr>
            <w:t>VI.</w:t>
          </w:r>
          <w:r>
            <w:rPr>
              <w:sz w:val="22"/>
            </w:rPr>
            <w:tab/>
            <w:t xml:space="preserve">THE COST OF UNBUNDLING SOCALGAS RECEIPT POINT AND "BACKBONE" </w:t>
            <w:br/>
            <w:t xml:space="preserve">TRANSMISSION CAPACITY OUTWEIGHS THE BENEFITS AND SHOULD </w:t>
            <w:br/>
            <w:t>BE REJECTED.</w:t>
            <w:tab/>
          </w:r>
          <w:hyperlink w:anchor="__RefHeading___Toc489684586">
            <w:r>
              <w:rPr>
                <w:rStyle w:val="IndexLink"/>
                <w:sz w:val="22"/>
              </w:rPr>
              <w:t>20</w:t>
            </w:r>
          </w:hyperlink>
        </w:p>
        <w:p>
          <w:pPr>
            <w:pStyle w:val="TOC2"/>
            <w:tabs>
              <w:tab w:val="left" w:pos="720" w:leader="none"/>
              <w:tab w:val="left" w:pos="1440" w:leader="none"/>
              <w:tab w:val="right" w:pos="9350" w:leader="dot"/>
            </w:tabs>
            <w:rPr>
              <w:sz w:val="22"/>
            </w:rPr>
          </w:pPr>
          <w:r>
            <w:rPr>
              <w:sz w:val="22"/>
            </w:rPr>
            <w:t>A.</w:t>
            <w:tab/>
            <w:t xml:space="preserve">Unbundling "Backbone" Transmission Capacity is Inappropriate </w:t>
            <w:br/>
            <w:t>for a Grid System in Which Gas Flows Bi-directionally.</w:t>
            <w:tab/>
          </w:r>
          <w:hyperlink w:anchor="__RefHeading___Toc489684587">
            <w:r>
              <w:rPr>
                <w:rStyle w:val="IndexLink"/>
                <w:sz w:val="22"/>
              </w:rPr>
              <w:t>21</w:t>
            </w:r>
          </w:hyperlink>
        </w:p>
        <w:p>
          <w:pPr>
            <w:pStyle w:val="TOC2"/>
            <w:tabs>
              <w:tab w:val="left" w:pos="720" w:leader="none"/>
              <w:tab w:val="left" w:pos="1440" w:leader="none"/>
              <w:tab w:val="right" w:pos="9350" w:leader="dot"/>
            </w:tabs>
            <w:rPr>
              <w:sz w:val="22"/>
            </w:rPr>
          </w:pPr>
          <w:r>
            <w:rPr>
              <w:sz w:val="22"/>
            </w:rPr>
            <w:t>B.</w:t>
            <w:tab/>
            <w:t xml:space="preserve">Unbundling Bottleneck Facilities that Have a Lower Slack Factor </w:t>
            <w:br/>
            <w:t xml:space="preserve">than the Upstream Delivering Pipelines Exposes Customers to </w:t>
            <w:br/>
            <w:t>the Risk of Higher Gas Prices at the New Downstream Citygates.</w:t>
            <w:tab/>
          </w:r>
          <w:hyperlink w:anchor="__RefHeading___Toc489684588">
            <w:r>
              <w:rPr>
                <w:rStyle w:val="IndexLink"/>
                <w:sz w:val="22"/>
              </w:rPr>
              <w:t>22</w:t>
            </w:r>
          </w:hyperlink>
        </w:p>
        <w:p>
          <w:pPr>
            <w:pStyle w:val="TOC3"/>
            <w:tabs>
              <w:tab w:val="left" w:pos="1440" w:leader="none"/>
              <w:tab w:val="left" w:pos="2160" w:leader="none"/>
              <w:tab w:val="right" w:pos="9350" w:leader="dot"/>
            </w:tabs>
            <w:rPr>
              <w:sz w:val="22"/>
            </w:rPr>
          </w:pPr>
          <w:r>
            <w:rPr>
              <w:sz w:val="22"/>
            </w:rPr>
            <w:t>1.</w:t>
            <w:tab/>
            <w:t xml:space="preserve">The PG&amp;E Experience With Citygate Prices Does Not Show </w:t>
            <w:br/>
            <w:t xml:space="preserve">That Citygate Prices Are Below Border Prices Plus </w:t>
            <w:br/>
            <w:t>Transportation Costs.</w:t>
            <w:tab/>
          </w:r>
          <w:hyperlink w:anchor="__RefHeading___Toc489684589">
            <w:r>
              <w:rPr>
                <w:rStyle w:val="IndexLink"/>
                <w:sz w:val="22"/>
              </w:rPr>
              <w:t>22</w:t>
            </w:r>
          </w:hyperlink>
        </w:p>
        <w:p>
          <w:pPr>
            <w:pStyle w:val="TOC3"/>
            <w:tabs>
              <w:tab w:val="left" w:pos="1440" w:leader="none"/>
              <w:tab w:val="left" w:pos="2160" w:leader="none"/>
              <w:tab w:val="right" w:pos="9350" w:leader="dot"/>
            </w:tabs>
            <w:rPr>
              <w:sz w:val="22"/>
            </w:rPr>
          </w:pPr>
          <w:r>
            <w:rPr>
              <w:sz w:val="22"/>
            </w:rPr>
            <w:t>2.</w:t>
            <w:tab/>
            <w:t xml:space="preserve">The Experience of PG&amp;E and DGS Shows that the PG&amp;E </w:t>
            <w:br/>
            <w:t xml:space="preserve">Citygate Fails to Provide Gas at a Price Below Border Prices </w:t>
            <w:br/>
            <w:t>Plus Transportation Costs.</w:t>
            <w:tab/>
          </w:r>
          <w:hyperlink w:anchor="__RefHeading___Toc489684590">
            <w:r>
              <w:rPr>
                <w:rStyle w:val="IndexLink"/>
                <w:sz w:val="22"/>
              </w:rPr>
              <w:t>24</w:t>
            </w:r>
          </w:hyperlink>
        </w:p>
        <w:p>
          <w:pPr>
            <w:pStyle w:val="TOC3"/>
            <w:tabs>
              <w:tab w:val="left" w:pos="1440" w:leader="none"/>
              <w:tab w:val="left" w:pos="2160" w:leader="none"/>
              <w:tab w:val="right" w:pos="9350" w:leader="dot"/>
            </w:tabs>
            <w:rPr>
              <w:sz w:val="22"/>
            </w:rPr>
          </w:pPr>
          <w:r>
            <w:rPr>
              <w:sz w:val="22"/>
            </w:rPr>
            <w:t>3.</w:t>
            <w:tab/>
            <w:t xml:space="preserve">It Makes Little Sense To Assume That Marketers Will Sell for </w:t>
            <w:br/>
            <w:t>Less Than the Cost of the Gas Plus Transportation.</w:t>
            <w:tab/>
          </w:r>
          <w:hyperlink w:anchor="__RefHeading___Toc489684591">
            <w:r>
              <w:rPr>
                <w:rStyle w:val="IndexLink"/>
                <w:sz w:val="22"/>
              </w:rPr>
              <w:t>25</w:t>
            </w:r>
          </w:hyperlink>
        </w:p>
        <w:p>
          <w:pPr>
            <w:pStyle w:val="TOC2"/>
            <w:tabs>
              <w:tab w:val="left" w:pos="720" w:leader="none"/>
              <w:tab w:val="left" w:pos="1440" w:leader="none"/>
              <w:tab w:val="right" w:pos="9350" w:leader="dot"/>
            </w:tabs>
            <w:rPr>
              <w:sz w:val="22"/>
            </w:rPr>
          </w:pPr>
          <w:r>
            <w:rPr>
              <w:sz w:val="22"/>
            </w:rPr>
            <w:t>C.</w:t>
            <w:tab/>
            <w:t xml:space="preserve">SoCalGas' "Backbone" Facilities Are a Bottleneck that </w:t>
            <w:br/>
            <w:t xml:space="preserve">Exposes Customers to the Risk of Higher Gas Prices at the </w:t>
            <w:br/>
            <w:t>New Downstream Citygates.</w:t>
            <w:tab/>
          </w:r>
          <w:hyperlink w:anchor="__RefHeading___Toc489684592">
            <w:r>
              <w:rPr>
                <w:rStyle w:val="IndexLink"/>
                <w:sz w:val="22"/>
              </w:rPr>
              <w:t>25</w:t>
            </w:r>
          </w:hyperlink>
        </w:p>
        <w:p>
          <w:pPr>
            <w:pStyle w:val="TOC2"/>
            <w:tabs>
              <w:tab w:val="left" w:pos="720" w:leader="none"/>
              <w:tab w:val="left" w:pos="1440" w:leader="none"/>
              <w:tab w:val="right" w:pos="9350" w:leader="dot"/>
            </w:tabs>
            <w:rPr>
              <w:sz w:val="22"/>
            </w:rPr>
          </w:pPr>
          <w:r>
            <w:rPr>
              <w:sz w:val="22"/>
            </w:rPr>
            <w:t>D.</w:t>
            <w:tab/>
            <w:t xml:space="preserve">Unbundling "Backbone" Transmission Capacity Results in </w:t>
            <w:br/>
            <w:t xml:space="preserve">the Imposition of Demand Charges Which Drives Up Unit </w:t>
            <w:br/>
            <w:t xml:space="preserve">Costs for Low Load Factor Customers and Imposes a </w:t>
            <w:br/>
            <w:t>Price Squeeze on Electric Generators.</w:t>
            <w:tab/>
          </w:r>
          <w:hyperlink w:anchor="__RefHeading___Toc489684593">
            <w:r>
              <w:rPr>
                <w:rStyle w:val="IndexLink"/>
                <w:sz w:val="22"/>
              </w:rPr>
              <w:t>27</w:t>
            </w:r>
          </w:hyperlink>
        </w:p>
        <w:p>
          <w:pPr>
            <w:pStyle w:val="TOC3"/>
            <w:tabs>
              <w:tab w:val="left" w:pos="1440" w:leader="none"/>
              <w:tab w:val="left" w:pos="2160" w:leader="none"/>
              <w:tab w:val="right" w:pos="9350" w:leader="dot"/>
            </w:tabs>
            <w:rPr>
              <w:sz w:val="22"/>
            </w:rPr>
          </w:pPr>
          <w:r>
            <w:rPr>
              <w:sz w:val="22"/>
            </w:rPr>
            <w:t>1.</w:t>
            <w:tab/>
            <w:t xml:space="preserve">Although Transmission Demand Charges May Be Low in Relation </w:t>
            <w:br/>
            <w:t>to Today's High Gas Supply Prices, They Have a Large Dollar Impact.</w:t>
            <w:tab/>
          </w:r>
          <w:hyperlink w:anchor="__RefHeading___Toc489684594">
            <w:r>
              <w:rPr>
                <w:rStyle w:val="IndexLink"/>
                <w:sz w:val="22"/>
              </w:rPr>
              <w:t>27</w:t>
            </w:r>
          </w:hyperlink>
        </w:p>
        <w:p>
          <w:pPr>
            <w:pStyle w:val="TOC3"/>
            <w:tabs>
              <w:tab w:val="left" w:pos="1440" w:leader="none"/>
              <w:tab w:val="left" w:pos="2160" w:leader="none"/>
              <w:tab w:val="right" w:pos="9350" w:leader="dot"/>
            </w:tabs>
            <w:rPr>
              <w:sz w:val="22"/>
            </w:rPr>
          </w:pPr>
          <w:r>
            <w:rPr>
              <w:sz w:val="22"/>
            </w:rPr>
            <w:t>2.</w:t>
            <w:tab/>
            <w:t>Brokering Does Not Eliminate the Adverse Impact of Demand Charges.</w:t>
            <w:tab/>
          </w:r>
          <w:hyperlink w:anchor="__RefHeading___Toc489684595">
            <w:r>
              <w:rPr>
                <w:rStyle w:val="IndexLink"/>
                <w:sz w:val="22"/>
              </w:rPr>
              <w:t>28</w:t>
            </w:r>
          </w:hyperlink>
        </w:p>
        <w:p>
          <w:pPr>
            <w:pStyle w:val="TOC3"/>
            <w:tabs>
              <w:tab w:val="left" w:pos="1440" w:leader="none"/>
              <w:tab w:val="left" w:pos="2160" w:leader="none"/>
              <w:tab w:val="right" w:pos="9350" w:leader="dot"/>
            </w:tabs>
            <w:rPr>
              <w:sz w:val="22"/>
            </w:rPr>
          </w:pPr>
          <w:r>
            <w:rPr>
              <w:sz w:val="22"/>
            </w:rPr>
            <w:t>3.</w:t>
            <w:tab/>
            <w:t xml:space="preserve">Low Load Factor Customers Consistently Strive to Mitigate or Avoid </w:t>
            <w:br/>
            <w:t>Demand Charges.</w:t>
            <w:tab/>
          </w:r>
          <w:hyperlink w:anchor="__RefHeading___Toc489684596">
            <w:r>
              <w:rPr>
                <w:rStyle w:val="IndexLink"/>
                <w:sz w:val="22"/>
              </w:rPr>
              <w:t>29</w:t>
            </w:r>
          </w:hyperlink>
        </w:p>
        <w:p>
          <w:pPr>
            <w:pStyle w:val="TOC2"/>
            <w:tabs>
              <w:tab w:val="left" w:pos="720" w:leader="none"/>
              <w:tab w:val="left" w:pos="1440" w:leader="none"/>
              <w:tab w:val="right" w:pos="9350" w:leader="dot"/>
            </w:tabs>
            <w:rPr>
              <w:sz w:val="22"/>
            </w:rPr>
          </w:pPr>
          <w:r>
            <w:rPr>
              <w:sz w:val="22"/>
            </w:rPr>
            <w:t>E.</w:t>
            <w:tab/>
            <w:t xml:space="preserve">The Comprehensive Settlement Establishes Anti-competitive </w:t>
            <w:br/>
            <w:t xml:space="preserve">Barriers to Entry by Establishing Set-Aside and Open </w:t>
            <w:br/>
            <w:t xml:space="preserve">Season Procedures Favoring Existing Producers, CTAs, </w:t>
            <w:br/>
            <w:t>and Noncore Customers Over Newcomers.</w:t>
            <w:tab/>
          </w:r>
          <w:hyperlink w:anchor="__RefHeading___Toc489684597">
            <w:r>
              <w:rPr>
                <w:rStyle w:val="IndexLink"/>
                <w:sz w:val="22"/>
              </w:rPr>
              <w:t>30</w:t>
            </w:r>
          </w:hyperlink>
        </w:p>
        <w:p>
          <w:pPr>
            <w:pStyle w:val="TOC2"/>
            <w:tabs>
              <w:tab w:val="left" w:pos="720" w:leader="none"/>
              <w:tab w:val="left" w:pos="1440" w:leader="none"/>
              <w:tab w:val="right" w:pos="9350" w:leader="dot"/>
            </w:tabs>
            <w:rPr>
              <w:sz w:val="22"/>
            </w:rPr>
          </w:pPr>
          <w:r>
            <w:rPr>
              <w:sz w:val="22"/>
            </w:rPr>
            <w:t>F.</w:t>
            <w:tab/>
            <w:t>The "40 Percent Market Concentration" Limit Would Be Ineffective.</w:t>
            <w:tab/>
          </w:r>
          <w:hyperlink w:anchor="__RefHeading___Toc489684598">
            <w:r>
              <w:rPr>
                <w:rStyle w:val="IndexLink"/>
                <w:sz w:val="22"/>
              </w:rPr>
              <w:t>32</w:t>
            </w:r>
          </w:hyperlink>
        </w:p>
        <w:p>
          <w:pPr>
            <w:pStyle w:val="TOC2"/>
            <w:tabs>
              <w:tab w:val="left" w:pos="720" w:leader="none"/>
              <w:tab w:val="left" w:pos="1440" w:leader="none"/>
              <w:tab w:val="right" w:pos="9350" w:leader="dot"/>
            </w:tabs>
            <w:rPr>
              <w:sz w:val="22"/>
            </w:rPr>
          </w:pPr>
          <w:r>
            <w:rPr>
              <w:sz w:val="22"/>
            </w:rPr>
            <w:t>G.</w:t>
            <w:tab/>
            <w:t xml:space="preserve">New or Expanded Interconnections Should Have Primary </w:t>
            <w:br/>
            <w:t xml:space="preserve">Access Rights to the Extent to Which the New Interconnection </w:t>
            <w:br/>
            <w:t>Will Not Degrade Rights at Existing Interconnections.</w:t>
            <w:tab/>
          </w:r>
          <w:hyperlink w:anchor="__RefHeading___Toc489684599">
            <w:r>
              <w:rPr>
                <w:rStyle w:val="IndexLink"/>
                <w:sz w:val="22"/>
              </w:rPr>
              <w:t>34</w:t>
            </w:r>
          </w:hyperlink>
        </w:p>
        <w:p>
          <w:pPr>
            <w:pStyle w:val="TOC1"/>
            <w:rPr>
              <w:sz w:val="22"/>
            </w:rPr>
          </w:pPr>
          <w:r>
            <w:rPr>
              <w:color w:val="000000"/>
              <w:sz w:val="22"/>
            </w:rPr>
            <w:t>VII.</w:t>
          </w:r>
          <w:r>
            <w:rPr>
              <w:sz w:val="22"/>
            </w:rPr>
            <w:tab/>
            <w:t xml:space="preserve">COMPENSATION PAID BY ONE CUSTOMER TO ANOTHER FOR </w:t>
            <w:br/>
            <w:t xml:space="preserve">DIVERTED GAS IS NO SUBSTITUTE FOR THE INCENTIVE THAT </w:t>
            <w:br/>
            <w:t>IS PROVIDED BY THE SERVICE INTERRUPTION CREDIT.</w:t>
            <w:tab/>
          </w:r>
          <w:hyperlink w:anchor="__RefHeading___Toc489684600">
            <w:r>
              <w:rPr>
                <w:rStyle w:val="IndexLink"/>
                <w:sz w:val="22"/>
              </w:rPr>
              <w:t>35</w:t>
            </w:r>
          </w:hyperlink>
        </w:p>
        <w:p>
          <w:pPr>
            <w:pStyle w:val="TOC2"/>
            <w:tabs>
              <w:tab w:val="left" w:pos="720" w:leader="none"/>
              <w:tab w:val="left" w:pos="1440" w:leader="none"/>
              <w:tab w:val="right" w:pos="9350" w:leader="dot"/>
            </w:tabs>
            <w:rPr>
              <w:sz w:val="22"/>
            </w:rPr>
          </w:pPr>
          <w:r>
            <w:rPr>
              <w:sz w:val="22"/>
            </w:rPr>
            <w:t>A.</w:t>
            <w:tab/>
            <w:t xml:space="preserve">The Comprehensive Settlement's $25 per Dth Customer-to-Customer Diversion Charge Is No Substitute for the Service Interruption </w:t>
            <w:br/>
            <w:t>Credit that Is Paid by SoCalGas Shareholders.</w:t>
            <w:tab/>
          </w:r>
          <w:hyperlink w:anchor="__RefHeading___Toc489684601">
            <w:r>
              <w:rPr>
                <w:rStyle w:val="IndexLink"/>
                <w:sz w:val="22"/>
              </w:rPr>
              <w:t>35</w:t>
            </w:r>
          </w:hyperlink>
        </w:p>
        <w:p>
          <w:pPr>
            <w:pStyle w:val="TOC2"/>
            <w:tabs>
              <w:tab w:val="left" w:pos="720" w:leader="none"/>
              <w:tab w:val="left" w:pos="1440" w:leader="none"/>
              <w:tab w:val="right" w:pos="9350" w:leader="dot"/>
            </w:tabs>
            <w:rPr>
              <w:sz w:val="22"/>
            </w:rPr>
          </w:pPr>
          <w:r>
            <w:rPr>
              <w:sz w:val="22"/>
            </w:rPr>
            <w:t>B.</w:t>
            <w:tab/>
            <w:t>PG&amp;E Does Not Have a SIC Because It Did Not Curtail Customers like SoCalGas Did in the 1980s.</w:t>
            <w:tab/>
          </w:r>
          <w:hyperlink w:anchor="__RefHeading___Toc489684602">
            <w:r>
              <w:rPr>
                <w:rStyle w:val="IndexLink"/>
                <w:sz w:val="22"/>
              </w:rPr>
              <w:t>36</w:t>
            </w:r>
          </w:hyperlink>
        </w:p>
        <w:p>
          <w:pPr>
            <w:pStyle w:val="TOC2"/>
            <w:tabs>
              <w:tab w:val="left" w:pos="720" w:leader="none"/>
              <w:tab w:val="left" w:pos="1440" w:leader="none"/>
              <w:tab w:val="right" w:pos="9350" w:leader="dot"/>
            </w:tabs>
            <w:rPr>
              <w:sz w:val="22"/>
            </w:rPr>
          </w:pPr>
          <w:r>
            <w:rPr>
              <w:sz w:val="22"/>
            </w:rPr>
            <w:t>C.</w:t>
            <w:tab/>
            <w:t xml:space="preserve">SoCalGas Should Be Subject to the SIC Incentive to Maintain </w:t>
            <w:br/>
            <w:t xml:space="preserve">and Expand Its System Regardless of Whether or Not the </w:t>
            <w:br/>
            <w:t>Comprehensive Settlement Is Approved.</w:t>
            <w:tab/>
          </w:r>
          <w:hyperlink w:anchor="__RefHeading___Toc489684603">
            <w:r>
              <w:rPr>
                <w:rStyle w:val="IndexLink"/>
                <w:sz w:val="22"/>
              </w:rPr>
              <w:t>36</w:t>
            </w:r>
          </w:hyperlink>
        </w:p>
        <w:p>
          <w:pPr>
            <w:pStyle w:val="TOC1"/>
            <w:rPr>
              <w:sz w:val="22"/>
            </w:rPr>
          </w:pPr>
          <w:r>
            <w:rPr>
              <w:color w:val="000000"/>
              <w:sz w:val="22"/>
            </w:rPr>
            <w:t>VIII.</w:t>
          </w:r>
          <w:r>
            <w:rPr>
              <w:sz w:val="22"/>
            </w:rPr>
            <w:tab/>
            <w:t xml:space="preserve">THE COMMISSION SHOULD STAND BY ITS RECENT DECISION THAT </w:t>
            <w:br/>
            <w:t xml:space="preserve">THE EDISON AND SDG&amp;E WHEELER RIDGE ACCESS AGREEMENTS </w:t>
            <w:br/>
            <w:t xml:space="preserve">SHOULD BE CONTINUED IN FORCE UNLESS BOUGHT OUT WITH </w:t>
            <w:br/>
            <w:t>COMPENSATION FLOWING TO SOCALGAS CUSTOMERS.</w:t>
            <w:tab/>
          </w:r>
          <w:hyperlink w:anchor="__RefHeading___Toc489684604">
            <w:r>
              <w:rPr>
                <w:rStyle w:val="IndexLink"/>
                <w:sz w:val="22"/>
              </w:rPr>
              <w:t>37</w:t>
            </w:r>
          </w:hyperlink>
        </w:p>
        <w:p>
          <w:pPr>
            <w:pStyle w:val="TOC1"/>
            <w:rPr>
              <w:sz w:val="22"/>
            </w:rPr>
          </w:pPr>
          <w:r>
            <w:rPr>
              <w:color w:val="000000"/>
              <w:sz w:val="22"/>
            </w:rPr>
            <w:t>IX.</w:t>
          </w:r>
          <w:r>
            <w:rPr>
              <w:sz w:val="22"/>
            </w:rPr>
            <w:tab/>
            <w:t xml:space="preserve">THE COMPREHENSIVE SETTLEMENT STORAGE UNBUNDLING </w:t>
            <w:br/>
            <w:t xml:space="preserve">PROPOSALS SHOULD BE REJECTED AND THE POST-INTERIM </w:t>
            <w:br/>
            <w:t>SETTLEMENT PROPOSALS ADOPTED.</w:t>
            <w:tab/>
          </w:r>
          <w:hyperlink w:anchor="__RefHeading___Toc489684605">
            <w:r>
              <w:rPr>
                <w:rStyle w:val="IndexLink"/>
                <w:sz w:val="22"/>
              </w:rPr>
              <w:t>38</w:t>
            </w:r>
          </w:hyperlink>
        </w:p>
        <w:p>
          <w:pPr>
            <w:pStyle w:val="TOC2"/>
            <w:tabs>
              <w:tab w:val="left" w:pos="720" w:leader="none"/>
              <w:tab w:val="left" w:pos="1440" w:leader="none"/>
              <w:tab w:val="right" w:pos="9350" w:leader="dot"/>
            </w:tabs>
            <w:rPr>
              <w:sz w:val="22"/>
            </w:rPr>
          </w:pPr>
          <w:r>
            <w:rPr>
              <w:sz w:val="22"/>
            </w:rPr>
            <w:t>A.</w:t>
            <w:tab/>
            <w:t xml:space="preserve">The 1999 SoCalGas BCAP Reservation of 70 BCF of </w:t>
            <w:br/>
            <w:t>Inventory Capacity Should Continue for the Term of the BCAP.</w:t>
            <w:tab/>
          </w:r>
          <w:hyperlink w:anchor="__RefHeading___Toc489684606">
            <w:r>
              <w:rPr>
                <w:rStyle w:val="IndexLink"/>
                <w:sz w:val="22"/>
              </w:rPr>
              <w:t>38</w:t>
            </w:r>
          </w:hyperlink>
        </w:p>
        <w:p>
          <w:pPr>
            <w:pStyle w:val="TOC2"/>
            <w:tabs>
              <w:tab w:val="left" w:pos="720" w:leader="none"/>
              <w:tab w:val="left" w:pos="1440" w:leader="none"/>
              <w:tab w:val="right" w:pos="9350" w:leader="dot"/>
            </w:tabs>
            <w:rPr>
              <w:sz w:val="22"/>
            </w:rPr>
          </w:pPr>
          <w:r>
            <w:rPr>
              <w:sz w:val="22"/>
            </w:rPr>
            <w:t>B.</w:t>
            <w:tab/>
            <w:t xml:space="preserve">The Comprehensive Settlement Elimination of a Cap on SoCalGas </w:t>
            <w:br/>
            <w:t>Charges for Unbundled Storage Capacity Should Be Rejected.</w:t>
            <w:tab/>
          </w:r>
          <w:hyperlink w:anchor="__RefHeading___Toc489684607">
            <w:r>
              <w:rPr>
                <w:rStyle w:val="IndexLink"/>
                <w:sz w:val="22"/>
              </w:rPr>
              <w:t>40</w:t>
            </w:r>
          </w:hyperlink>
        </w:p>
        <w:p>
          <w:pPr>
            <w:pStyle w:val="TOC2"/>
            <w:tabs>
              <w:tab w:val="left" w:pos="720" w:leader="none"/>
              <w:tab w:val="left" w:pos="1440" w:leader="none"/>
              <w:tab w:val="right" w:pos="9350" w:leader="dot"/>
            </w:tabs>
            <w:rPr>
              <w:sz w:val="22"/>
            </w:rPr>
          </w:pPr>
          <w:r>
            <w:rPr>
              <w:sz w:val="22"/>
            </w:rPr>
            <w:t>C.</w:t>
            <w:tab/>
            <w:t xml:space="preserve">Insofar as SoCalGas Stopped Using Montebello Three Years </w:t>
            <w:br/>
            <w:t xml:space="preserve">Ago to Provide Service to Customers, Montebello Costs </w:t>
            <w:br/>
            <w:t>Should Be Removed from Rates.</w:t>
            <w:tab/>
          </w:r>
          <w:hyperlink w:anchor="__RefHeading___Toc489684608">
            <w:r>
              <w:rPr>
                <w:rStyle w:val="IndexLink"/>
                <w:sz w:val="22"/>
              </w:rPr>
              <w:t>40</w:t>
            </w:r>
          </w:hyperlink>
        </w:p>
        <w:p>
          <w:pPr>
            <w:pStyle w:val="TOC1"/>
            <w:rPr>
              <w:sz w:val="22"/>
            </w:rPr>
          </w:pPr>
          <w:r>
            <w:rPr>
              <w:color w:val="000000"/>
              <w:sz w:val="22"/>
            </w:rPr>
            <w:t>X.</w:t>
          </w:r>
          <w:r>
            <w:rPr>
              <w:sz w:val="22"/>
            </w:rPr>
            <w:tab/>
            <w:t xml:space="preserve">THE COMPREHENSIVE SETTLEMENT REDUCTION OF BALANCING </w:t>
            <w:br/>
            <w:t xml:space="preserve">ASSETS AND ELIMINATION OF SYSTEMWIDE BALANCING </w:t>
            <w:br/>
            <w:t>SHOULD BE REJECTED.</w:t>
            <w:tab/>
          </w:r>
          <w:hyperlink w:anchor="__RefHeading___Toc489684609">
            <w:r>
              <w:rPr>
                <w:rStyle w:val="IndexLink"/>
                <w:sz w:val="22"/>
              </w:rPr>
              <w:t>42</w:t>
            </w:r>
          </w:hyperlink>
        </w:p>
        <w:p>
          <w:pPr>
            <w:pStyle w:val="TOC2"/>
            <w:tabs>
              <w:tab w:val="left" w:pos="720" w:leader="none"/>
              <w:tab w:val="left" w:pos="1440" w:leader="none"/>
              <w:tab w:val="right" w:pos="9350" w:leader="dot"/>
            </w:tabs>
            <w:rPr>
              <w:sz w:val="22"/>
            </w:rPr>
          </w:pPr>
          <w:r>
            <w:rPr>
              <w:sz w:val="22"/>
            </w:rPr>
            <w:t>A.</w:t>
            <w:tab/>
            <w:t xml:space="preserve">The Injection Capacity Allocated to Balancing Service </w:t>
            <w:br/>
            <w:t>Should Not Be Reduced.</w:t>
            <w:tab/>
          </w:r>
          <w:hyperlink w:anchor="__RefHeading___Toc489684610">
            <w:r>
              <w:rPr>
                <w:rStyle w:val="IndexLink"/>
                <w:sz w:val="22"/>
              </w:rPr>
              <w:t>42</w:t>
            </w:r>
          </w:hyperlink>
        </w:p>
        <w:p>
          <w:pPr>
            <w:pStyle w:val="TOC3"/>
            <w:tabs>
              <w:tab w:val="left" w:pos="1440" w:leader="none"/>
              <w:tab w:val="left" w:pos="2160" w:leader="none"/>
              <w:tab w:val="right" w:pos="9350" w:leader="dot"/>
            </w:tabs>
            <w:rPr>
              <w:sz w:val="22"/>
            </w:rPr>
          </w:pPr>
          <w:r>
            <w:rPr>
              <w:sz w:val="22"/>
            </w:rPr>
            <w:t>1.</w:t>
            <w:tab/>
            <w:t xml:space="preserve">The Noncore Reservation of Storage Injection Balancing </w:t>
            <w:br/>
            <w:t>Capacity Should Be Retained.</w:t>
            <w:tab/>
          </w:r>
          <w:hyperlink w:anchor="__RefHeading___Toc489684611">
            <w:r>
              <w:rPr>
                <w:rStyle w:val="IndexLink"/>
                <w:sz w:val="22"/>
              </w:rPr>
              <w:t>43</w:t>
            </w:r>
          </w:hyperlink>
        </w:p>
        <w:p>
          <w:pPr>
            <w:pStyle w:val="TOC3"/>
            <w:tabs>
              <w:tab w:val="left" w:pos="1440" w:leader="none"/>
              <w:tab w:val="left" w:pos="2160" w:leader="none"/>
              <w:tab w:val="right" w:pos="9350" w:leader="dot"/>
            </w:tabs>
            <w:rPr>
              <w:sz w:val="22"/>
            </w:rPr>
          </w:pPr>
          <w:r>
            <w:rPr>
              <w:sz w:val="22"/>
            </w:rPr>
            <w:t>2.</w:t>
            <w:tab/>
            <w:t xml:space="preserve">The Core Reservation of Storage Injection Balancing Capacity </w:t>
            <w:br/>
            <w:t>Should Be Retained.</w:t>
            <w:tab/>
          </w:r>
          <w:hyperlink w:anchor="__RefHeading___Toc489684612">
            <w:r>
              <w:rPr>
                <w:rStyle w:val="IndexLink"/>
                <w:sz w:val="22"/>
              </w:rPr>
              <w:t>43</w:t>
            </w:r>
          </w:hyperlink>
        </w:p>
        <w:p>
          <w:pPr>
            <w:pStyle w:val="TOC2"/>
            <w:tabs>
              <w:tab w:val="left" w:pos="720" w:leader="none"/>
              <w:tab w:val="left" w:pos="1440" w:leader="none"/>
              <w:tab w:val="right" w:pos="9350" w:leader="dot"/>
            </w:tabs>
            <w:rPr>
              <w:sz w:val="22"/>
            </w:rPr>
          </w:pPr>
          <w:r>
            <w:rPr>
              <w:sz w:val="22"/>
            </w:rPr>
            <w:t>B.</w:t>
            <w:tab/>
            <w:t>The Threat of Increased OFOs that Results from Deducing Storage Allocations While Abandoning System-Wide Balancing Would Unnecessarily Impose Increased Costs on Customers.</w:t>
            <w:tab/>
          </w:r>
          <w:hyperlink w:anchor="__RefHeading___Toc489684613">
            <w:r>
              <w:rPr>
                <w:rStyle w:val="IndexLink"/>
                <w:sz w:val="22"/>
              </w:rPr>
              <w:t>44</w:t>
            </w:r>
          </w:hyperlink>
        </w:p>
        <w:p>
          <w:pPr>
            <w:pStyle w:val="TOC2"/>
            <w:tabs>
              <w:tab w:val="left" w:pos="720" w:leader="none"/>
              <w:tab w:val="left" w:pos="1440" w:leader="none"/>
              <w:tab w:val="right" w:pos="9350" w:leader="dot"/>
            </w:tabs>
            <w:rPr>
              <w:sz w:val="22"/>
            </w:rPr>
          </w:pPr>
          <w:r>
            <w:rPr>
              <w:sz w:val="22"/>
            </w:rPr>
            <w:t>C.</w:t>
            <w:tab/>
            <w:t xml:space="preserve">Liberalized Imbalance Trading on Altra for a Fee is Not </w:t>
            <w:br/>
            <w:t>Optional Under the Comprehensive Settlement.</w:t>
            <w:tab/>
          </w:r>
          <w:hyperlink w:anchor="__RefHeading___Toc489684614">
            <w:r>
              <w:rPr>
                <w:rStyle w:val="IndexLink"/>
                <w:sz w:val="22"/>
              </w:rPr>
              <w:t>45</w:t>
            </w:r>
          </w:hyperlink>
        </w:p>
        <w:p>
          <w:pPr>
            <w:pStyle w:val="TOC1"/>
            <w:rPr>
              <w:sz w:val="22"/>
            </w:rPr>
          </w:pPr>
          <w:r>
            <w:rPr>
              <w:color w:val="000000"/>
              <w:sz w:val="22"/>
            </w:rPr>
            <w:t>XI.</w:t>
          </w:r>
          <w:r>
            <w:rPr>
              <w:sz w:val="22"/>
            </w:rPr>
            <w:tab/>
            <w:t xml:space="preserve">THE INTERIM AND POST-INTERIM SETTLEMENTS CONFER ENOUGH </w:t>
            <w:br/>
            <w:t xml:space="preserve">BENEFITS ON CTAs AND PROPERLY ALLOCATE THE COSTS </w:t>
            <w:br/>
            <w:t>OF THOSE BENEFITS.</w:t>
            <w:tab/>
          </w:r>
          <w:hyperlink w:anchor="__RefHeading___Toc489684615">
            <w:r>
              <w:rPr>
                <w:rStyle w:val="IndexLink"/>
                <w:sz w:val="22"/>
              </w:rPr>
              <w:t>46</w:t>
            </w:r>
          </w:hyperlink>
        </w:p>
        <w:p>
          <w:pPr>
            <w:pStyle w:val="TOC1"/>
            <w:rPr>
              <w:sz w:val="22"/>
            </w:rPr>
          </w:pPr>
          <w:r>
            <w:rPr>
              <w:color w:val="000000"/>
              <w:sz w:val="22"/>
            </w:rPr>
            <w:t>XII.</w:t>
          </w:r>
          <w:r>
            <w:rPr>
              <w:sz w:val="22"/>
            </w:rPr>
            <w:tab/>
            <w:t xml:space="preserve">INFORMATION DISCLOSURE RULE 8 DOES NOT "SUNSET" AT </w:t>
            <w:br/>
            <w:t>THE END OF 2000.</w:t>
            <w:tab/>
          </w:r>
          <w:hyperlink w:anchor="__RefHeading___Toc489684616">
            <w:r>
              <w:rPr>
                <w:rStyle w:val="IndexLink"/>
                <w:sz w:val="22"/>
              </w:rPr>
              <w:t>48</w:t>
            </w:r>
          </w:hyperlink>
        </w:p>
        <w:p>
          <w:pPr>
            <w:pStyle w:val="TOC1"/>
            <w:rPr>
              <w:sz w:val="22"/>
            </w:rPr>
          </w:pPr>
          <w:r>
            <w:rPr>
              <w:color w:val="000000"/>
              <w:sz w:val="22"/>
            </w:rPr>
            <w:t>XIII.</w:t>
          </w:r>
          <w:r>
            <w:rPr>
              <w:sz w:val="22"/>
            </w:rPr>
            <w:tab/>
            <w:t xml:space="preserve">THE COMPREHENSIVE SETTLEMENT PROPOSAL TO HAVE BOTH </w:t>
            <w:br/>
            <w:t xml:space="preserve">GAS OPERATIONS AND GAS ACQUISITION OFFER HUB SERVICES </w:t>
            <w:br/>
            <w:t>THEY DIVERT REVENUES FROM CUSTOMERS TO SHAREHOLDERS.</w:t>
            <w:tab/>
          </w:r>
          <w:hyperlink w:anchor="__RefHeading___Toc489684617">
            <w:r>
              <w:rPr>
                <w:rStyle w:val="IndexLink"/>
                <w:sz w:val="22"/>
              </w:rPr>
              <w:t>48</w:t>
            </w:r>
          </w:hyperlink>
        </w:p>
        <w:p>
          <w:pPr>
            <w:pStyle w:val="TOC1"/>
            <w:rPr>
              <w:sz w:val="22"/>
            </w:rPr>
          </w:pPr>
          <w:r>
            <w:rPr>
              <w:color w:val="000000"/>
              <w:sz w:val="22"/>
            </w:rPr>
            <w:t>XIV.</w:t>
          </w:r>
          <w:r>
            <w:rPr>
              <w:sz w:val="22"/>
            </w:rPr>
            <w:tab/>
            <w:t xml:space="preserve">THE POST-INTERIM SETTLEMENT PROPOSAL TO SHARE </w:t>
            <w:br/>
            <w:t xml:space="preserve">ITCS COSTS 75/25 BETWEEN NONCORE RATE PAYERS AND </w:t>
            <w:br/>
            <w:t xml:space="preserve">SOCALGAS NEITHER VIOLATES THE GLOBAL SETTLEMENT NOR </w:t>
            <w:br/>
            <w:t>THE NANTAHALA DOCTRINE.</w:t>
            <w:tab/>
          </w:r>
          <w:hyperlink w:anchor="__RefHeading___Toc489684618">
            <w:r>
              <w:rPr>
                <w:rStyle w:val="IndexLink"/>
                <w:sz w:val="22"/>
              </w:rPr>
              <w:t>50</w:t>
            </w:r>
          </w:hyperlink>
        </w:p>
        <w:p>
          <w:pPr>
            <w:pStyle w:val="TOC1"/>
            <w:rPr>
              <w:sz w:val="22"/>
            </w:rPr>
          </w:pPr>
          <w:r>
            <w:rPr>
              <w:color w:val="000000"/>
              <w:sz w:val="22"/>
            </w:rPr>
            <w:t>XV.</w:t>
          </w:r>
          <w:r>
            <w:rPr>
              <w:sz w:val="22"/>
            </w:rPr>
            <w:tab/>
            <w:t xml:space="preserve">THE LIFTING OF THE "10% CORE AGGREGATION" MARKET </w:t>
            <w:br/>
            <w:t>PENETRATION CAP SHOULD BE POSTPONED TO A LATER PROCEEDING.</w:t>
            <w:tab/>
          </w:r>
          <w:hyperlink w:anchor="__RefHeading___Toc489684619">
            <w:r>
              <w:rPr>
                <w:rStyle w:val="IndexLink"/>
                <w:sz w:val="22"/>
              </w:rPr>
              <w:t>52</w:t>
            </w:r>
          </w:hyperlink>
        </w:p>
        <w:p>
          <w:pPr>
            <w:pStyle w:val="TOC1"/>
            <w:rPr>
              <w:sz w:val="22"/>
            </w:rPr>
          </w:pPr>
          <w:r>
            <w:rPr>
              <w:color w:val="000000"/>
              <w:sz w:val="22"/>
            </w:rPr>
            <w:t>XVI.</w:t>
          </w:r>
          <w:r>
            <w:rPr>
              <w:sz w:val="22"/>
            </w:rPr>
            <w:tab/>
            <w:t>CONCLUSION.</w:t>
            <w:tab/>
          </w:r>
          <w:hyperlink w:anchor="__RefHeading___Toc489684620">
            <w:r>
              <w:rPr>
                <w:rStyle w:val="IndexLink"/>
                <w:sz w:val="22"/>
              </w:rPr>
              <w:t>53</w:t>
            </w:r>
          </w:hyperlink>
          <w:r>
            <w:rPr>
              <w:rStyle w:val="IndexLink"/>
              <w:sz w:val="22"/>
            </w:rPr>
            <w:fldChar w:fldCharType="end"/>
          </w:r>
        </w:p>
      </w:sdtContent>
    </w:sdt>
    <w:p>
      <w:pPr>
        <w:pStyle w:val="Normal"/>
        <w:spacing w:lineRule="auto" w:line="240" w:before="120" w:after="0"/>
        <w:ind w:hanging="720" w:start="720" w:end="0"/>
        <w:rPr>
          <w:caps/>
          <w:sz w:val="20"/>
          <w:lang w:val="en-CA"/>
        </w:rPr>
      </w:pPr>
      <w:r>
        <w:rPr>
          <w:caps/>
          <w:sz w:val="20"/>
          <w:lang w:val="en-CA"/>
        </w:rPr>
      </w:r>
      <w:r>
        <w:br w:type="page"/>
      </w:r>
    </w:p>
    <w:p>
      <w:pPr>
        <w:pStyle w:val="BodyText"/>
        <w:jc w:val="center"/>
        <w:rPr>
          <w:b/>
          <w:u w:val="single"/>
        </w:rPr>
      </w:pPr>
      <w:r>
        <w:rPr>
          <w:b/>
          <w:u w:val="single"/>
        </w:rPr>
        <w:t>TABLE OF AUTHORITIES</w:t>
      </w:r>
    </w:p>
    <w:p>
      <w:pPr>
        <w:pStyle w:val="BodyText"/>
        <w:ind w:end="-144"/>
        <w:jc w:val="end"/>
        <w:rPr>
          <w:b/>
          <w:u w:val="single"/>
        </w:rPr>
      </w:pPr>
      <w:r>
        <w:rPr>
          <w:b/>
          <w:u w:val="single"/>
        </w:rPr>
        <w:t>Page No.</w:t>
      </w:r>
    </w:p>
    <w:p>
      <w:pPr>
        <w:pStyle w:val="TOAHeading"/>
        <w:tabs>
          <w:tab w:val="clear" w:pos="720"/>
          <w:tab w:val="right" w:pos="9350" w:leader="dot"/>
        </w:tabs>
        <w:spacing w:lineRule="auto" w:line="240"/>
        <w:rPr>
          <w:rFonts w:ascii="Times New Roman" w:hAnsi="Times New Roman" w:cs="Times New Roman"/>
          <w:b w:val="false"/>
          <w:sz w:val="20"/>
          <w:lang w:val="en-CA"/>
        </w:rPr>
      </w:pPr>
      <w:r>
        <w:fldChar w:fldCharType="begin"/>
      </w:r>
      <w:r>
        <w:rPr>
          <w:u w:val="single"/>
          <w:b/>
          <w:rFonts w:cs="Times New Roman" w:ascii="Times New Roman" w:hAnsi="Times New Roman"/>
          <w:lang w:val="en-CA"/>
        </w:rPr>
        <w:instrText xml:space="preserve"> TOA \h \c "1" \p </w:instrText>
      </w:r>
      <w:r>
        <w:rPr>
          <w:rFonts w:cs="Times New Roman" w:ascii="Times New Roman" w:hAnsi="Times New Roman"/>
          <w:b/>
          <w:u w:val="single"/>
          <w:lang w:val="en-CA"/>
        </w:rPr>
      </w:r>
      <w:r>
        <w:rPr>
          <w:u w:val="single"/>
          <w:b/>
          <w:rFonts w:cs="Times New Roman" w:ascii="Times New Roman" w:hAnsi="Times New Roman"/>
          <w:lang w:val="en-CA"/>
        </w:rPr>
        <w:fldChar w:fldCharType="separate"/>
      </w:r>
      <w:r>
        <w:rPr>
          <w:rFonts w:cs="Times New Roman" w:ascii="Times New Roman" w:hAnsi="Times New Roman"/>
          <w:b/>
          <w:u w:val="single"/>
          <w:lang w:val="en-CA"/>
        </w:rPr>
      </w:r>
      <w:r>
        <w:rPr>
          <w:rFonts w:cs="Times New Roman" w:ascii="Times New Roman" w:hAnsi="Times New Roman"/>
          <w:lang w:val="en-CA"/>
        </w:rPr>
        <w:t>Cases</w:t>
      </w:r>
    </w:p>
    <w:p>
      <w:pPr>
        <w:pStyle w:val="TableofAuthorities"/>
        <w:tabs>
          <w:tab w:val="clear" w:pos="720"/>
          <w:tab w:val="right" w:pos="9350" w:leader="dot"/>
        </w:tabs>
        <w:spacing w:lineRule="auto" w:line="240"/>
        <w:rPr>
          <w:lang w:val="en-CA"/>
        </w:rPr>
      </w:pPr>
      <w:r>
        <w:rPr>
          <w:lang w:val="en-CA"/>
        </w:rPr>
        <w:t>Nantahala Power &amp; Light Company v. Thornburg, 476 US 953 1986</w:t>
        <w:tab/>
        <w:t>52</w:t>
      </w:r>
    </w:p>
    <w:p>
      <w:pPr>
        <w:pStyle w:val="TableofAuthorities"/>
        <w:tabs>
          <w:tab w:val="clear" w:pos="720"/>
          <w:tab w:val="right" w:pos="9350" w:leader="dot"/>
        </w:tabs>
        <w:spacing w:lineRule="auto" w:line="240"/>
        <w:rPr>
          <w:lang w:val="en-CA"/>
        </w:rPr>
      </w:pPr>
      <w:r>
        <w:rPr>
          <w:lang w:val="en-CA"/>
        </w:rPr>
        <w:t>Northern California Power Agency v. Public Utilities Commission, 5 Cal. 3d 370 1971</w:t>
        <w:tab/>
        <w:t>32</w:t>
      </w:r>
    </w:p>
    <w:p>
      <w:pPr>
        <w:pStyle w:val="TableofAuthorities"/>
        <w:tabs>
          <w:tab w:val="clear" w:pos="720"/>
          <w:tab w:val="right" w:pos="9350" w:leader="dot"/>
        </w:tabs>
        <w:spacing w:lineRule="auto" w:line="240"/>
        <w:rPr/>
      </w:pPr>
      <w:r>
        <w:rPr>
          <w:lang w:val="en-CA"/>
        </w:rPr>
        <w:t>Public Utilities Commission of the State of California v. El Paso Natural Gas Company, et al., FERC Docket No. RP00-241, at 18, et. seq</w:t>
      </w:r>
      <w:r>
        <w:rPr>
          <w:i/>
          <w:lang w:val="en-CA"/>
        </w:rPr>
        <w:t>.</w:t>
      </w:r>
      <w:r>
        <w:rPr>
          <w:lang w:val="en-CA"/>
        </w:rPr>
        <w:t xml:space="preserve"> April 4, 2000</w:t>
        <w:tab/>
        <w:t>4</w:t>
      </w:r>
    </w:p>
    <w:p>
      <w:pPr>
        <w:pStyle w:val="TOAHeading"/>
        <w:tabs>
          <w:tab w:val="clear" w:pos="720"/>
          <w:tab w:val="right" w:pos="9350" w:leader="dot"/>
        </w:tabs>
        <w:spacing w:lineRule="auto" w:line="240"/>
        <w:rPr>
          <w:rFonts w:ascii="Times New Roman" w:hAnsi="Times New Roman" w:cs="Times New Roman"/>
          <w:b w:val="false"/>
          <w:sz w:val="20"/>
          <w:lang w:val="en-CA"/>
        </w:rPr>
      </w:pPr>
      <w:r>
        <w:rPr>
          <w:lang w:val="en-CA"/>
        </w:rPr>
      </w:r>
      <w:r>
        <w:rPr>
          <w:lang w:val="en-CA"/>
        </w:rPr>
        <w:fldChar w:fldCharType="end"/>
      </w:r>
      <w:r>
        <w:fldChar w:fldCharType="begin"/>
      </w:r>
      <w:r>
        <w:rPr>
          <w:lang w:val="en-CA"/>
        </w:rPr>
        <w:instrText xml:space="preserve"> TOA \h \c "3" \p </w:instrText>
      </w:r>
      <w:r>
        <w:rPr>
          <w:lang w:val="en-CA"/>
        </w:rPr>
      </w:r>
      <w:r>
        <w:rPr>
          <w:lang w:val="en-CA"/>
        </w:rPr>
        <w:fldChar w:fldCharType="separate"/>
      </w:r>
      <w:r>
        <w:rPr>
          <w:lang w:val="en-CA"/>
        </w:rPr>
      </w:r>
      <w:r>
        <w:rPr>
          <w:rFonts w:cs="Times New Roman" w:ascii="Times New Roman" w:hAnsi="Times New Roman"/>
          <w:lang w:val="en-CA"/>
        </w:rPr>
        <w:t>Other Authorities</w:t>
      </w:r>
    </w:p>
    <w:p>
      <w:pPr>
        <w:pStyle w:val="TableofAuthorities"/>
        <w:tabs>
          <w:tab w:val="clear" w:pos="720"/>
          <w:tab w:val="right" w:pos="9350" w:leader="dot"/>
        </w:tabs>
        <w:spacing w:lineRule="auto" w:line="240"/>
        <w:rPr>
          <w:lang w:val="en-CA"/>
        </w:rPr>
      </w:pPr>
      <w:r>
        <w:rPr>
          <w:lang w:val="en-CA"/>
        </w:rPr>
        <w:t>D.00-04-060, slip. op., at 147</w:t>
        <w:tab/>
        <w:t>50</w:t>
      </w:r>
    </w:p>
    <w:p>
      <w:pPr>
        <w:pStyle w:val="TableofAuthorities"/>
        <w:tabs>
          <w:tab w:val="clear" w:pos="720"/>
          <w:tab w:val="right" w:pos="9350" w:leader="dot"/>
        </w:tabs>
        <w:spacing w:lineRule="auto" w:line="240"/>
        <w:rPr>
          <w:lang w:val="en-CA"/>
        </w:rPr>
      </w:pPr>
      <w:r>
        <w:rPr>
          <w:lang w:val="en-CA"/>
        </w:rPr>
        <w:t>D.94-04-088, slip op., Appendix C.3</w:t>
        <w:tab/>
        <w:t>51</w:t>
      </w:r>
    </w:p>
    <w:p>
      <w:pPr>
        <w:pStyle w:val="TableofAuthorities"/>
        <w:tabs>
          <w:tab w:val="clear" w:pos="720"/>
          <w:tab w:val="right" w:pos="9350" w:leader="dot"/>
        </w:tabs>
        <w:spacing w:lineRule="auto" w:line="240"/>
        <w:rPr>
          <w:lang w:val="en-CA"/>
        </w:rPr>
      </w:pPr>
      <w:r>
        <w:rPr>
          <w:lang w:val="en-CA"/>
        </w:rPr>
        <w:t>D.97-08-055, slip op., App. B, at 39; 73 CPUC 2d, at 821</w:t>
        <w:tab/>
        <w:t>26</w:t>
      </w:r>
    </w:p>
    <w:p>
      <w:pPr>
        <w:pStyle w:val="TableofAuthorities"/>
        <w:tabs>
          <w:tab w:val="clear" w:pos="720"/>
          <w:tab w:val="right" w:pos="9350" w:leader="dot"/>
        </w:tabs>
        <w:spacing w:lineRule="auto" w:line="240"/>
        <w:rPr>
          <w:lang w:val="en-CA"/>
        </w:rPr>
      </w:pPr>
      <w:r>
        <w:rPr>
          <w:lang w:val="en-CA"/>
        </w:rPr>
        <w:t>D.99-07-015, slip op., at 143</w:t>
        <w:tab/>
        <w:t>11</w:t>
      </w:r>
    </w:p>
    <w:p>
      <w:pPr>
        <w:pStyle w:val="TableofAuthorities"/>
        <w:tabs>
          <w:tab w:val="clear" w:pos="720"/>
          <w:tab w:val="right" w:pos="9350" w:leader="dot"/>
        </w:tabs>
        <w:spacing w:lineRule="auto" w:line="240"/>
        <w:rPr>
          <w:lang w:val="en-CA"/>
        </w:rPr>
      </w:pPr>
      <w:r>
        <w:rPr>
          <w:lang w:val="en-CA"/>
        </w:rPr>
        <w:t>FERC SR §31,091 February 25, 2000</w:t>
        <w:tab/>
        <w:t>52</w:t>
      </w:r>
    </w:p>
    <w:p>
      <w:pPr>
        <w:pStyle w:val="TableofAuthorities"/>
        <w:tabs>
          <w:tab w:val="clear" w:pos="720"/>
          <w:tab w:val="right" w:pos="9350" w:leader="dot"/>
        </w:tabs>
        <w:spacing w:lineRule="auto" w:line="240"/>
        <w:rPr>
          <w:lang w:val="en-CA"/>
        </w:rPr>
      </w:pPr>
      <w:r>
        <w:rPr>
          <w:lang w:val="en-CA"/>
        </w:rPr>
        <w:t>D.97-08-055, slip op., at 23 August 1, 1997</w:t>
        <w:tab/>
        <w:t>9</w:t>
      </w:r>
    </w:p>
    <w:p>
      <w:pPr>
        <w:sectPr>
          <w:headerReference w:type="default" r:id="rId9"/>
          <w:headerReference w:type="first" r:id="rId10"/>
          <w:footerReference w:type="default" r:id="rId11"/>
          <w:footerReference w:type="first" r:id="rId12"/>
          <w:type w:val="nextPage"/>
          <w:pgSz w:w="12240" w:h="15840"/>
          <w:pgMar w:left="1440" w:right="1440" w:gutter="0" w:header="432" w:top="1440" w:footer="432" w:bottom="1440"/>
          <w:pgNumType w:start="1" w:fmt="lowerRoman"/>
          <w:formProt w:val="false"/>
          <w:titlePg/>
          <w:textDirection w:val="lrTb"/>
          <w:docGrid w:type="default" w:linePitch="360" w:charSpace="0"/>
        </w:sectPr>
        <w:pStyle w:val="Normal"/>
        <w:rPr>
          <w:caps/>
          <w:sz w:val="20"/>
          <w:lang w:val="en-CA"/>
        </w:rPr>
      </w:pPr>
      <w:r/>
      <w:r>
        <w:rPr>
          <w:lang w:val="en-CA"/>
        </w:rPr>
        <w:fldChar w:fldCharType="end"/>
      </w:r>
      <w:r>
        <w:rPr>
          <w:lang w:val="en-CA"/>
        </w:rPr>
      </w:r>
    </w:p>
    <w:p>
      <w:pPr>
        <w:pStyle w:val="Subtitle"/>
        <w:spacing w:lineRule="auto" w:line="240" w:before="120" w:after="0"/>
        <w:rPr>
          <w:rFonts w:ascii="Georgia" w:hAnsi="Georgia" w:cs="Georgia"/>
        </w:rPr>
      </w:pPr>
      <w:r>
        <w:rPr>
          <w:rFonts w:cs="Georgia" w:ascii="Georgia" w:hAnsi="Georgia"/>
        </w:rPr>
        <w:t>SOUTHERN CALIFORNIA GENERATION COALITION</w:t>
      </w:r>
    </w:p>
    <w:p>
      <w:pPr>
        <w:pStyle w:val="Subtitle"/>
        <w:spacing w:before="120" w:after="120"/>
        <w:rPr>
          <w:rFonts w:ascii="Georgia" w:hAnsi="Georgia" w:cs="Georgia"/>
        </w:rPr>
      </w:pPr>
      <w:r>
        <w:rPr>
          <w:rFonts w:cs="Georgia" w:ascii="Georgia" w:hAnsi="Georgia"/>
        </w:rPr>
        <w:t>OPENING BRIEF</w:t>
      </w:r>
    </w:p>
    <w:p>
      <w:pPr>
        <w:pStyle w:val="Subtitle"/>
        <w:spacing w:before="120" w:after="120"/>
        <w:rPr>
          <w:rFonts w:ascii="Georgia" w:hAnsi="Georgia" w:cs="Georgia"/>
          <w:u w:val="single"/>
        </w:rPr>
      </w:pPr>
      <w:r>
        <w:rPr>
          <w:rFonts w:cs="Georgia" w:ascii="Georgia" w:hAnsi="Georgia"/>
          <w:u w:val="single"/>
        </w:rPr>
        <w:t>EXECUTIVE SUMMARY</w:t>
      </w:r>
    </w:p>
    <w:p>
      <w:pPr>
        <w:pStyle w:val="Heading1"/>
        <w:numPr>
          <w:ilvl w:val="0"/>
          <w:numId w:val="13"/>
        </w:numPr>
        <w:ind w:hanging="0" w:start="0"/>
        <w:rPr/>
      </w:pPr>
      <w:r>
        <w:rPr>
          <w:rFonts w:eastAsia="Georgia"/>
          <w:u w:val="none"/>
        </w:rPr>
        <w:t xml:space="preserve"> </w:t>
      </w:r>
      <w:r>
        <w:rPr/>
        <w:t>Introduction</w:t>
      </w:r>
      <w:r>
        <w:rPr>
          <w:u w:val="none"/>
        </w:rPr>
        <w:t>.</w:t>
      </w:r>
    </w:p>
    <w:p>
      <w:pPr>
        <w:pStyle w:val="BodyText"/>
        <w:rPr/>
      </w:pPr>
      <w:r>
        <w:rPr/>
        <w:t>The opening briefs in this proceeding reflect a pattern.  Invariably, the parties that have filed opening briefs to oppose the Comprehensive Settlement represent customer interests.  By contrast, the supporters of the Comprehensive Settlement tend to be either SoCalGas or representatives of interests that, one way or another, want to make a profit by selling something to the customers.</w:t>
      </w:r>
    </w:p>
    <w:p>
      <w:pPr>
        <w:pStyle w:val="Heading1"/>
        <w:ind w:hanging="0" w:start="0"/>
        <w:rPr/>
      </w:pPr>
      <w:r>
        <w:rPr/>
        <w:t>Interim Settlement</w:t>
      </w:r>
      <w:r>
        <w:rPr>
          <w:u w:val="none"/>
        </w:rPr>
        <w:t>.</w:t>
      </w:r>
    </w:p>
    <w:p>
      <w:pPr>
        <w:pStyle w:val="BodyText"/>
        <w:rPr/>
      </w:pPr>
      <w:r>
        <w:rPr/>
        <w:t xml:space="preserve">With one exception, the substantive provisions of the Interim Settlement are uncontested.  The Southern California Generation Coalition ("SCGC") supports the Department of General Services ("DGS") recommendation that, in light the lack of opposition, the substantive reforms of the Interim Settlement should be implemented immediately.  The sole objection by one party, El Paso Natural Gas Company, to a single provision in the Interim Settlement, the Wheeler Ridge expansion provision, can be handled in a variety of ways without stalling implementation of other substantive Interim Settlement reforms.  The procedural provisions of the Interim Settlement are either moot or can be phased for implementation at a later date.  Prompt implementation of the substantive provisions of the Interim Settlement would assist, particularly, electric generators.  </w:t>
      </w:r>
    </w:p>
    <w:p>
      <w:pPr>
        <w:pStyle w:val="Heading1"/>
        <w:ind w:hanging="0" w:start="0"/>
        <w:rPr/>
      </w:pPr>
      <w:r>
        <w:rPr/>
        <w:t>Statewide Consistency</w:t>
      </w:r>
      <w:r>
        <w:rPr>
          <w:u w:val="none"/>
        </w:rPr>
        <w:t>.</w:t>
      </w:r>
    </w:p>
    <w:p>
      <w:pPr>
        <w:pStyle w:val="BodyText"/>
        <w:rPr/>
      </w:pPr>
      <w:r>
        <w:rPr/>
        <w:t>Contrary to the claims of the Comprehensive Settlement supporters, statewide consistency is not a compelling goal.  In any event, it is not achieved by the Comprehensive Settlement.</w:t>
      </w:r>
    </w:p>
    <w:p>
      <w:pPr>
        <w:pStyle w:val="Heading1"/>
        <w:ind w:hanging="0" w:start="0"/>
        <w:rPr/>
      </w:pPr>
      <w:r>
        <w:rPr/>
        <w:t>Most Promising Options</w:t>
      </w:r>
      <w:r>
        <w:rPr>
          <w:u w:val="none"/>
        </w:rPr>
        <w:t>.</w:t>
      </w:r>
    </w:p>
    <w:p>
      <w:pPr>
        <w:pStyle w:val="BodyText"/>
        <w:rPr/>
      </w:pPr>
      <w:r>
        <w:rPr/>
        <w:t xml:space="preserve">Contrary to the view of the Comprehensive Settlement supporters, this proceeding was instituted to determine which of the most promising options should be accomplished, not to adopt all options regardless of cost.  The Interim and Post-Interim Settlements do not adopt all promising options insofar as, for some, the costs outweigh the benefits.  The Comprehensive Settlement does not accomplish all of the most promising options, either.  </w:t>
      </w:r>
    </w:p>
    <w:p>
      <w:pPr>
        <w:pStyle w:val="Heading1"/>
        <w:ind w:hanging="0" w:start="0"/>
        <w:rPr/>
      </w:pPr>
      <w:r>
        <w:rPr/>
        <w:t>Costs and Benefits</w:t>
      </w:r>
      <w:r>
        <w:rPr>
          <w:u w:val="none"/>
        </w:rPr>
        <w:t>.</w:t>
      </w:r>
    </w:p>
    <w:p>
      <w:pPr>
        <w:pStyle w:val="BodyText"/>
        <w:rPr/>
      </w:pPr>
      <w:r>
        <w:rPr/>
        <w:t xml:space="preserve">The costs of the Comprehensive Settlement provisions outweigh the benefits.  For the core, if the elimination of the core contribution to covering Interstate Transition Cost Surcharge ("ITCS") costs is put aside as being an element that is common to both the Comprehensive Settlement and the Post-Interim Settlement, the Comprehensive Settlement raises core rates.  </w:t>
      </w:r>
    </w:p>
    <w:p>
      <w:pPr>
        <w:pStyle w:val="BodyText"/>
        <w:rPr/>
      </w:pPr>
      <w:r>
        <w:rPr/>
        <w:t xml:space="preserve">Furthermore, the Comprehensive Settlement shifts at least $6.2 million per year to the core, then offsets the cost shift by reducing core storage inventory capacity, storage injection capacity, and transmission capacity.  That leaves the core with reduced assets.  In losing assets, the core loses value.  Additionally, the Comprehensive Settlement takes value away from the core by taking away the benefits of systemwide balancing.  The lost value associated with reduced assets and reduced operational flexibility is conservatively estimated to be over $12 million annually. </w:t>
      </w:r>
    </w:p>
    <w:p>
      <w:pPr>
        <w:pStyle w:val="BodyText"/>
        <w:rPr/>
      </w:pPr>
      <w:r>
        <w:rPr/>
        <w:t>Likewise, the costs of the Comprehensive Settlement outweigh the benefits for the noncore.  In addition to bearing the shifted cost associated with eliminating the core contribution to covering  ITCS costs, the noncore would bear up to $7.0 million over two years to cover Core Transportation Agent ("CTA") interstate capacity unbundling costs.  Also, the noncore would be forced to bear the cost of acquiring additional "backbone" transmission capacity and storage injection capacity for balancing purposes at a total cost conservatively estimated to exceed $30 million per year.  The noncore's only option would be to buy potentially high-priced gas at the new downstream citygates.</w:t>
      </w:r>
    </w:p>
    <w:p>
      <w:pPr>
        <w:pStyle w:val="Heading1"/>
        <w:ind w:hanging="0" w:start="0"/>
        <w:rPr/>
      </w:pPr>
      <w:r>
        <w:rPr/>
        <w:t>Unbundling "Backbone" Transmission Capacity</w:t>
      </w:r>
      <w:r>
        <w:rPr>
          <w:u w:val="none"/>
        </w:rPr>
        <w:t>.</w:t>
      </w:r>
    </w:p>
    <w:p>
      <w:pPr>
        <w:pStyle w:val="BodyText"/>
        <w:rPr/>
      </w:pPr>
      <w:r>
        <w:rPr/>
        <w:t xml:space="preserve">The cost of unbundling SoCalGas receipt point and "backbone" transmission capacity outweighs the benefits of unbundling and should be rejected.  Unbundling bottleneck facilities that have a lower slack factor than the upstream delivering pipelines exposes customers to the risk of higher gas prices at the new downstream citygates.  The Pacific Gas &amp; Electric Company ("PG&amp;E") experience with citygate prices under the Gas Accord does not show that citygate prices tend to be below border prices plus transportation costs.  To the contrary, the experience of PG&amp;E and DGS shows that the PG&amp;E citygate fails to provide gas at a price below border prices plus transportation costs.  This is consistent with common sense.  Marketers are unlikely to stay in business for long if they consistently sell gas at the citygate for less than the cost of the gas plus transportation service.  </w:t>
      </w:r>
    </w:p>
    <w:p>
      <w:pPr>
        <w:pStyle w:val="BodyText"/>
        <w:rPr/>
      </w:pPr>
      <w:r>
        <w:rPr/>
        <w:t>Unbundling "backbone" transmission capacity results in the imposition of demand charges which drives up unit costs for low load factor customers and imposes a price squeeze on electric generators.  Comprehensive Settlement supporters try to trivialize the impact of transmission demand charges, but demand charges have a large dollar impact, both in absolute terms and given the multiplier effect that inflates the average unit cost for low load factor customers.  Brokering does not eliminate the adverse impact of demand charges on low load factor customers.  Accordingly, low load factor customers consistently strive to mitigate, reduce, or avoid demand charges.</w:t>
      </w:r>
    </w:p>
    <w:p>
      <w:pPr>
        <w:pStyle w:val="BodyText"/>
        <w:rPr/>
      </w:pPr>
      <w:r>
        <w:rPr/>
        <w:t xml:space="preserve">The Comprehensive Settlement provisions for the acquisition of the unbundled "backbone" transmission capacity are deficient.  The Comprehensive Settlement establishes an anti-competitive barrier to entry by establishing set-aside and open season procedures favoring existing producers, CTAs, and noncore customers over new entrants.  The "forty percent market concentration" limit established in the Comprehensive Settlement would be ineffective, and the experience of PG&amp;E and the interstate pipelines is irrelevant in determining whether market concentration is a real threat on the SoCalGas system.  </w:t>
      </w:r>
    </w:p>
    <w:p>
      <w:pPr>
        <w:pStyle w:val="BodyText"/>
        <w:rPr/>
      </w:pPr>
      <w:r>
        <w:rPr/>
        <w:t>A further anti-competitive effect of the Comprehensive Settlement is that it would deny primary access rights to new or expanded interconnections.  Such interconnections should have primary access rights to the extent to which the new interconnections will not degrade rights at existing interconnections.</w:t>
      </w:r>
    </w:p>
    <w:p>
      <w:pPr>
        <w:pStyle w:val="Heading1"/>
        <w:ind w:hanging="0" w:start="0"/>
        <w:rPr/>
      </w:pPr>
      <w:r>
        <w:rPr/>
        <w:t>Service Interruption Credit</w:t>
      </w:r>
      <w:r>
        <w:rPr>
          <w:u w:val="none"/>
        </w:rPr>
        <w:t>.</w:t>
      </w:r>
    </w:p>
    <w:p>
      <w:pPr>
        <w:pStyle w:val="BodyText"/>
        <w:rPr/>
      </w:pPr>
      <w:r>
        <w:rPr/>
        <w:t>The Service Interruption Credit should be continued.  The Comprehensive Settlement provides for compensation to be paid by one customer to another for diverted gas, but that is no substitute for the incentive that is provided by the Service Interruption Credit.  The credit provides SoCalGas with an incentive to expand its system when necessary, insofar as the credit is paid by SoCalGas shareholders, not customers.  PG&amp;E does not have Service Interruption Credit because it did not curtail customers like SoCalGas did in the 1980s.  SoCalGas should be subject to the SIC incentive to maintain and expand its system regardless of whether or not the Comprehensive Settlement is approved.</w:t>
      </w:r>
    </w:p>
    <w:p>
      <w:pPr>
        <w:pStyle w:val="Heading1"/>
        <w:ind w:hanging="0" w:start="0"/>
        <w:rPr/>
      </w:pPr>
      <w:r>
        <w:rPr/>
        <w:t>Wheeler Ridge</w:t>
      </w:r>
      <w:r>
        <w:rPr>
          <w:u w:val="none"/>
        </w:rPr>
        <w:t>.</w:t>
      </w:r>
    </w:p>
    <w:p>
      <w:pPr>
        <w:pStyle w:val="BodyText"/>
        <w:rPr/>
      </w:pPr>
      <w:r>
        <w:rPr/>
        <w:t>The Commission should stand by its recent decision that the Southern California Edison Company and San Diego Gas &amp; Electric Company Wheeler Ridge Access Agreements should be continued to be enforced unless bought out with compensation to SoCalGas customers.</w:t>
      </w:r>
    </w:p>
    <w:p>
      <w:pPr>
        <w:pStyle w:val="Heading1"/>
        <w:ind w:hanging="0" w:start="0"/>
        <w:rPr/>
      </w:pPr>
      <w:r>
        <w:rPr/>
        <w:t>Storage</w:t>
      </w:r>
      <w:r>
        <w:rPr>
          <w:u w:val="none"/>
        </w:rPr>
        <w:t>.</w:t>
      </w:r>
    </w:p>
    <w:p>
      <w:pPr>
        <w:pStyle w:val="BodyText"/>
        <w:rPr/>
      </w:pPr>
      <w:r>
        <w:rPr/>
        <w:t>The Comprehensive Settlement storage unbundling proposals should be rejected, and the Post-Interim Settlement proposals should be adopted.  Specifically, the 1999 SoCalGas BCAP reservation of 70 bcf of inventory capacity should continue for the term of the current SoCalGas Biennial Cost Allocation Proceeding ("BCAP").  The Comprehensive Settlement's elimination of a cap on SoCalGas charges for unbundled storage capacity should be rejected.  Additionally, insofar as SoCalGas stopped using Montebello three years ago to provide service to customers, Montebello costs should be removed from rates.</w:t>
      </w:r>
    </w:p>
    <w:p>
      <w:pPr>
        <w:pStyle w:val="Heading1"/>
        <w:ind w:hanging="0" w:start="0"/>
        <w:rPr/>
      </w:pPr>
      <w:r>
        <w:rPr/>
        <w:t>Balancing Assets and Elimination of Systemwide Balancing</w:t>
      </w:r>
      <w:r>
        <w:rPr>
          <w:u w:val="none"/>
        </w:rPr>
        <w:t>.</w:t>
      </w:r>
    </w:p>
    <w:p>
      <w:pPr>
        <w:pStyle w:val="BodyText"/>
        <w:rPr/>
      </w:pPr>
      <w:r>
        <w:rPr/>
        <w:t>Neither the core nor the noncore reservations of storage injection balancing capacity should be reduced, as proposed in the Comprehensive Settlement.  The threat of increased OFOs that would result from reducing storage allocations while simultaneously abandoning systemwide balancing would unnecessarily impose increased costs on customers.  Also, the Comprehensive Settlement would make liberalized imbalance trading rules available only to customers that pay a fee, even though the Comprehensive Settlement supporters say that the fee-based Altra trading scheme would be optional.</w:t>
      </w:r>
    </w:p>
    <w:p>
      <w:pPr>
        <w:pStyle w:val="Heading1"/>
        <w:ind w:hanging="0" w:start="0"/>
        <w:rPr/>
      </w:pPr>
      <w:r>
        <w:rPr/>
        <w:t>Benefits for CTAs</w:t>
      </w:r>
      <w:r>
        <w:rPr>
          <w:u w:val="none"/>
        </w:rPr>
        <w:t>.</w:t>
      </w:r>
    </w:p>
    <w:p>
      <w:pPr>
        <w:pStyle w:val="BodyText"/>
        <w:rPr/>
      </w:pPr>
      <w:r>
        <w:rPr/>
        <w:t xml:space="preserve">The Interim and Post Interim Settlements confer enough benefits on CTAs and properly allocate the costs.  The Comprehensive Settlement would shift a disproportionate amount of the costs to those who do not benefit from the CTA program.  </w:t>
      </w:r>
    </w:p>
    <w:p>
      <w:pPr>
        <w:pStyle w:val="Heading1"/>
        <w:ind w:hanging="0" w:start="0"/>
        <w:rPr/>
      </w:pPr>
      <w:r>
        <w:rPr/>
        <w:t>Information Disclosure</w:t>
      </w:r>
      <w:r>
        <w:rPr>
          <w:u w:val="none"/>
        </w:rPr>
        <w:t>.</w:t>
      </w:r>
    </w:p>
    <w:p>
      <w:pPr>
        <w:pStyle w:val="BodyText"/>
        <w:rPr/>
      </w:pPr>
      <w:r>
        <w:rPr/>
        <w:t xml:space="preserve">The Commission's Information Disclosure Rule 8 which requires parity between California local distribution companies and their interstate pipeline competitors does not sunset at the end of 2000.  In any event, SCGC requests the Commission clarify that the rule will not terminate at the end of this year.  </w:t>
      </w:r>
    </w:p>
    <w:p>
      <w:pPr>
        <w:pStyle w:val="Heading1"/>
        <w:ind w:hanging="0" w:start="0"/>
        <w:rPr/>
      </w:pPr>
      <w:r>
        <w:rPr/>
        <w:t>Hub Services</w:t>
      </w:r>
      <w:r>
        <w:rPr>
          <w:u w:val="none"/>
        </w:rPr>
        <w:t>.</w:t>
      </w:r>
    </w:p>
    <w:p>
      <w:pPr>
        <w:pStyle w:val="BodyText"/>
        <w:rPr/>
      </w:pPr>
      <w:r>
        <w:rPr/>
        <w:t>The Comprehensive Settlement proposal to have both Gas Operations and Gas Acquisition offer Hub services diverts revenues from customers to shareholders.  In order to prevent SoCalGas from having an incentive to manipulate customers into taking Hub services, all Hub revenues should flow to ratepayers.</w:t>
      </w:r>
    </w:p>
    <w:p>
      <w:pPr>
        <w:pStyle w:val="Heading1"/>
        <w:ind w:hanging="0" w:start="0"/>
        <w:rPr/>
      </w:pPr>
      <w:r>
        <w:rPr/>
        <w:t>ITCS</w:t>
      </w:r>
      <w:r>
        <w:rPr>
          <w:u w:val="none"/>
        </w:rPr>
        <w:t>.</w:t>
      </w:r>
    </w:p>
    <w:p>
      <w:pPr>
        <w:pStyle w:val="BodyText"/>
        <w:rPr/>
      </w:pPr>
      <w:r>
        <w:rPr/>
        <w:t xml:space="preserve">The Post-Interim Settlement Proposal to share ITCS costs 75/25 between noncore ratepayers and SoCalGas does not violate the Global Settlement, nor does it violate the </w:t>
      </w:r>
      <w:r>
        <w:rPr>
          <w:u w:val="single"/>
        </w:rPr>
        <w:t>Nantahala</w:t>
      </w:r>
      <w:r>
        <w:rPr/>
        <w:t xml:space="preserve"> doctrine.</w:t>
      </w:r>
    </w:p>
    <w:p>
      <w:pPr>
        <w:pStyle w:val="Heading1"/>
        <w:ind w:hanging="0" w:start="0"/>
        <w:rPr/>
      </w:pPr>
      <w:r>
        <w:rPr/>
        <w:t>Retail Issues</w:t>
      </w:r>
      <w:r>
        <w:rPr>
          <w:u w:val="none"/>
        </w:rPr>
        <w:t>.</w:t>
      </w:r>
    </w:p>
    <w:p>
      <w:pPr>
        <w:pStyle w:val="BodyText"/>
        <w:rPr/>
      </w:pPr>
      <w:r>
        <w:rPr/>
        <w:t>The lifting of the ten percent core aggregation market penetration cap should be postponed to a later proceeding.  Beyond that, SCGC has not taken a position on the "retail" portions of the Comprehensive Settlement.</w:t>
      </w:r>
    </w:p>
    <w:sectPr>
      <w:headerReference w:type="default" r:id="rId13"/>
      <w:headerReference w:type="first" r:id="rId14"/>
      <w:footerReference w:type="default" r:id="rId15"/>
      <w:footerReference w:type="first" r:id="rId16"/>
      <w:type w:val="nextPage"/>
      <w:pgSz w:w="12240" w:h="15840"/>
      <w:pgMar w:left="1440" w:right="1440" w:gutter="0" w:header="432" w:top="1440" w:footer="432" w:bottom="144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LA-1075249v1 [Word 97]</w:t>
    </w:r>
    <w:r>
      <w:rPr>
        <w:sz w:val="18"/>
      </w:rPr>
      <w:tab/>
    </w: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LA-1075249v1 [Word 97]</w:t>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LA-1075249v1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LA-1075249v1 [Word 97]</w:t>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LA-1075249v1 [Word 97]</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LA-1075249v1 [Word 97]</w:t>
      <w:tab/>
    </w: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LA-1075249v1 [Word 97]</w:t>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LA-1075249v1 [Word 97]</w:t>
      <w:tab/>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187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18745" cy="175260"/>
                      </a:xfrm>
                      <a:prstGeom prst="rect"/>
                      <a:solidFill>
                        <a:srgbClr val="FFFFFF">
                          <a:alpha val="0"/>
                        </a:srgbClr>
                      </a:solidFill>
                    </wps:spPr>
                    <wps:txbx>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3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LA-1075249v1 [Word 97]</w:t>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LA-1075249v1 [Word 97]</w:t>
      <w:tab/>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1874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18745" cy="175260"/>
                      </a:xfrm>
                      <a:prstGeom prst="rect"/>
                      <a:solidFill>
                        <a:srgbClr val="FFFFFF">
                          <a:alpha val="0"/>
                        </a:srgbClr>
                      </a:solidFill>
                    </wps:spPr>
                    <wps:txbx>
                      <w:txbxContent>
                        <w:p>
                          <w:pPr>
                            <w:pStyle w:val="Footer"/>
                            <w:spacing w:before="0" w:after="240"/>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35pt;height:13.8pt;mso-wrap-distance-left:0pt;mso-wrap-distance-right:0pt;mso-wrap-distance-top:0pt;mso-wrap-distance-bottom:0pt;margin-top:0.05pt;mso-position-vertical-relative:text;margin-left:229.35pt;mso-position-horizontal:center;mso-position-horizontal-relative:margin">
              <v:fill opacity="0f"/>
              <v:textbox inset="0in,0in,0in,0in">
                <w:txbxContent>
                  <w:p>
                    <w:pPr>
                      <w:pStyle w:val="Footer"/>
                      <w:spacing w:before="0" w:after="240"/>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sz w:val="24"/>
        <w:i w:val="false"/>
        <w:u w:val="none"/>
        <w:b/>
        <w:rFonts w:ascii="Georgia" w:hAnsi="Georgia" w:cs="Georgia"/>
        <w:color w:val="000000"/>
      </w:rPr>
    </w:lvl>
    <w:lvl w:ilvl="1">
      <w:start w:val="1"/>
      <w:pStyle w:val="Heading2"/>
      <w:numFmt w:val="upperLetter"/>
      <w:lvlText w:val="%2."/>
      <w:lvlJc w:val="start"/>
      <w:pPr>
        <w:tabs>
          <w:tab w:val="num" w:pos="1440"/>
        </w:tabs>
        <w:ind w:start="1440" w:hanging="720"/>
      </w:pPr>
      <w:rPr>
        <w:sz w:val="24"/>
        <w:i w:val="false"/>
        <w:u w:val="none"/>
        <w:b/>
        <w:rFonts w:ascii="Georgia" w:hAnsi="Georgia" w:cs="Georgia"/>
      </w:rPr>
    </w:lvl>
    <w:lvl w:ilvl="2">
      <w:start w:val="1"/>
      <w:pStyle w:val="Heading3"/>
      <w:numFmt w:val="decimal"/>
      <w:lvlText w:val="%3."/>
      <w:lvlJc w:val="start"/>
      <w:pPr>
        <w:tabs>
          <w:tab w:val="num" w:pos="2160"/>
        </w:tabs>
        <w:ind w:start="2160" w:hanging="720"/>
      </w:pPr>
      <w:rPr>
        <w:sz w:val="24"/>
        <w:i w:val="false"/>
        <w:u w:val="none"/>
        <w:b/>
        <w:rFonts w:ascii="Georgia" w:hAnsi="Georgia" w:cs="Georgia"/>
        <w:color w:val="000000"/>
      </w:rPr>
    </w:lvl>
    <w:lvl w:ilvl="3">
      <w:start w:val="1"/>
      <w:pStyle w:val="Heading4"/>
      <w:numFmt w:val="lowerLetter"/>
      <w:lvlText w:val="%4."/>
      <w:lvlJc w:val="start"/>
      <w:pPr>
        <w:tabs>
          <w:tab w:val="num" w:pos="2880"/>
        </w:tabs>
        <w:ind w:start="2880" w:hanging="720"/>
      </w:pPr>
      <w:rPr>
        <w:sz w:val="24"/>
        <w:i w:val="false"/>
        <w:u w:val="none"/>
        <w:b/>
        <w:rFonts w:ascii="Georgia" w:hAnsi="Georgia" w:cs="Georgia"/>
        <w:color w:val="000000"/>
      </w:r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docVars>
    <w:docVar w:name="DocStamp_1_DocID" w:val="G:\DOCSOPEN\LA\JP078229\N1_101!.DOC"/>
    <w:docVar w:name="DocStamp_1_IncludeDate" w:val="False"/>
    <w:docVar w:name="DocStamp_1_IncludeDraftText" w:val="False"/>
    <w:docVar w:name="DocStamp_1_IncludeTime" w:val="False"/>
    <w:docVar w:name="DocStamp_1_InsertDateAsField" w:val="False"/>
    <w:docVar w:name="DocStamp_1_TypeID" w:val="1"/>
    <w:docVar w:name="DocXToolsFileType" w:val="Word97"/>
    <w:docVar w:name="MPDocID" w:val="::ODMA\PCDOCS\LA\1075249\1"/>
    <w:docVar w:name="zzmpFixedCurScheme" w:val="ingStyles"/>
    <w:docVar w:name="zzmpFixedCurScheme_9.0" w:val="1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0" w:after="24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lineRule="auto" w:line="240" w:before="0" w:after="480"/>
      <w:outlineLvl w:val="0"/>
    </w:pPr>
    <w:rPr>
      <w:rFonts w:ascii="Georgia" w:hAnsi="Georgia" w:cs="Georgia"/>
      <w:b/>
      <w:u w:val="single"/>
    </w:rPr>
  </w:style>
  <w:style w:type="paragraph" w:styleId="Heading2">
    <w:name w:val="heading 2"/>
    <w:basedOn w:val="Normal"/>
    <w:next w:val="Heading3"/>
    <w:qFormat/>
    <w:pPr>
      <w:keepNext w:val="true"/>
      <w:keepLines/>
      <w:numPr>
        <w:ilvl w:val="1"/>
        <w:numId w:val="1"/>
      </w:numPr>
      <w:spacing w:lineRule="auto" w:line="240"/>
      <w:outlineLvl w:val="1"/>
    </w:pPr>
    <w:rPr>
      <w:rFonts w:ascii="Georgia" w:hAnsi="Georgia" w:cs="Georgia"/>
      <w:b/>
    </w:rPr>
  </w:style>
  <w:style w:type="paragraph" w:styleId="Heading3">
    <w:name w:val="heading 3"/>
    <w:basedOn w:val="ListBullet31"/>
    <w:next w:val="BodyText"/>
    <w:qFormat/>
    <w:pPr>
      <w:keepNext w:val="true"/>
      <w:numPr>
        <w:ilvl w:val="2"/>
        <w:numId w:val="1"/>
      </w:numPr>
      <w:spacing w:lineRule="auto" w:line="240" w:before="0" w:after="240"/>
      <w:outlineLvl w:val="2"/>
    </w:pPr>
    <w:rPr>
      <w:rFonts w:ascii="Georgia" w:hAnsi="Georgia" w:cs="Georgia"/>
      <w:b/>
    </w:rPr>
  </w:style>
  <w:style w:type="paragraph" w:styleId="Heading4">
    <w:name w:val="heading 4"/>
    <w:basedOn w:val="Normal"/>
    <w:next w:val="Heading5"/>
    <w:qFormat/>
    <w:pPr>
      <w:keepNext w:val="true"/>
      <w:numPr>
        <w:ilvl w:val="3"/>
        <w:numId w:val="1"/>
      </w:numPr>
      <w:spacing w:lineRule="auto" w:line="240" w:before="0" w:after="480"/>
      <w:outlineLvl w:val="3"/>
    </w:pPr>
    <w:rPr>
      <w:rFonts w:ascii="Georgia" w:hAnsi="Georgia" w:cs="Georgia"/>
      <w:b/>
    </w:rPr>
  </w:style>
  <w:style w:type="paragraph" w:styleId="Heading5">
    <w:name w:val="heading 5"/>
    <w:basedOn w:val="Normal"/>
    <w:next w:val="Heading6"/>
    <w:qFormat/>
    <w:pPr>
      <w:spacing w:before="0" w:after="240"/>
      <w:outlineLvl w:val="4"/>
    </w:pPr>
    <w:rPr/>
  </w:style>
  <w:style w:type="paragraph" w:styleId="Heading6">
    <w:name w:val="heading 6"/>
    <w:basedOn w:val="Normal"/>
    <w:next w:val="Heading7"/>
    <w:qFormat/>
    <w:pPr>
      <w:spacing w:before="0" w:after="240"/>
      <w:outlineLvl w:val="5"/>
    </w:pPr>
    <w:rPr/>
  </w:style>
  <w:style w:type="paragraph" w:styleId="Heading7">
    <w:name w:val="heading 7"/>
    <w:basedOn w:val="Normal"/>
    <w:next w:val="Heading8"/>
    <w:qFormat/>
    <w:pPr>
      <w:spacing w:before="0" w:after="240"/>
      <w:outlineLvl w:val="6"/>
    </w:pPr>
    <w:rPr/>
  </w:style>
  <w:style w:type="paragraph" w:styleId="Heading8">
    <w:name w:val="heading 8"/>
    <w:basedOn w:val="Normal"/>
    <w:next w:val="Heading9"/>
    <w:qFormat/>
    <w:pPr>
      <w:spacing w:before="0" w:after="240"/>
      <w:outlineLvl w:val="7"/>
    </w:pPr>
    <w:rPr/>
  </w:style>
  <w:style w:type="paragraph" w:styleId="Heading9">
    <w:name w:val="heading 9"/>
    <w:basedOn w:val="Normal"/>
    <w:next w:val="BodyText"/>
    <w:qFormat/>
    <w:p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Georgia" w:hAnsi="Georgia" w:cs="Georgia"/>
      <w:b/>
      <w:i w:val="false"/>
      <w:color w:val="000000"/>
      <w:sz w:val="24"/>
      <w:u w:val="none"/>
    </w:rPr>
  </w:style>
  <w:style w:type="character" w:styleId="WW8Num12z1">
    <w:name w:val="WW8Num12z1"/>
    <w:qFormat/>
    <w:rPr>
      <w:rFonts w:ascii="Georgia" w:hAnsi="Georgia" w:cs="Georgia"/>
      <w:b/>
      <w:i w:val="false"/>
      <w:sz w:val="24"/>
      <w:u w:val="non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b/>
      <w:i w:val="false"/>
    </w:rPr>
  </w:style>
  <w:style w:type="character" w:styleId="WW8Num16z0">
    <w:name w:val="WW8Num16z0"/>
    <w:qFormat/>
    <w:rPr>
      <w:rFonts w:ascii="Symbol" w:hAnsi="Symbol" w:cs="Symbol"/>
    </w:rPr>
  </w:style>
  <w:style w:type="character" w:styleId="WW8Num17z0">
    <w:name w:val="WW8Num17z0"/>
    <w:qFormat/>
    <w:rPr>
      <w:rFonts w:ascii="Times New Roman Bold" w:hAnsi="Times New Roman Bold" w:cs="Times New Roman Bold"/>
      <w:b/>
      <w:i w:val="false"/>
      <w:sz w:val="24"/>
      <w:u w:val="none"/>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keepNext w:val="true"/>
      <w:jc w:val="center"/>
      <w:outlineLvl w:val="0"/>
    </w:pPr>
    <w:rPr>
      <w:rFonts w:ascii="Times New Roman Bold" w:hAnsi="Times New Roman Bold" w:cs="Times New Roman Bold"/>
      <w:b/>
    </w:rPr>
  </w:style>
  <w:style w:type="paragraph" w:styleId="BodyText">
    <w:name w:val="Body Text"/>
    <w:basedOn w:val="Normal"/>
    <w:pPr>
      <w:spacing w:before="0" w:after="0"/>
      <w:ind w:firstLine="72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ListBullet31">
    <w:name w:val="List Bullet 31"/>
    <w:basedOn w:val="Normal"/>
    <w:qFormat/>
    <w:pPr>
      <w:numPr>
        <w:ilvl w:val="0"/>
        <w:numId w:val="8"/>
      </w:numPr>
      <w:tabs>
        <w:tab w:val="clear" w:pos="720"/>
        <w:tab w:val="left" w:pos="1170" w:leader="none"/>
        <w:tab w:val="decimal" w:pos="7200" w:leader="none"/>
      </w:tabs>
      <w:spacing w:before="0" w:after="0"/>
      <w:ind w:hanging="450" w:start="117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360" w:start="360" w:end="0"/>
    </w:pPr>
    <w:rPr/>
  </w:style>
  <w:style w:type="paragraph" w:styleId="IndexHeading">
    <w:name w:val="index heading"/>
    <w:basedOn w:val="Normal"/>
    <w:next w:val="Index1"/>
    <w:pPr/>
    <w:rPr>
      <w:b/>
    </w:rPr>
  </w:style>
  <w:style w:type="paragraph" w:styleId="PlainText">
    <w:name w:val="Plain Text"/>
    <w:basedOn w:val="Normal"/>
    <w:qFormat/>
    <w:pPr/>
    <w:rPr/>
  </w:style>
  <w:style w:type="paragraph" w:styleId="Subtitle">
    <w:name w:val="Subtitle"/>
    <w:basedOn w:val="Normal"/>
    <w:next w:val="BodyText"/>
    <w:qFormat/>
    <w:pPr>
      <w:spacing w:before="600" w:after="480"/>
      <w:jc w:val="center"/>
      <w:outlineLvl w:val="1"/>
    </w:pPr>
    <w:rPr>
      <w:rFonts w:ascii="Times New Roman Bold" w:hAnsi="Times New Roman Bold" w:cs="Times New Roman Bold"/>
      <w:b/>
    </w:rPr>
  </w:style>
  <w:style w:type="paragraph" w:styleId="Quote">
    <w:name w:val="Quote"/>
    <w:basedOn w:val="Normal"/>
    <w:next w:val="BodyText"/>
    <w:qFormat/>
    <w:pPr>
      <w:spacing w:lineRule="auto" w:line="240"/>
      <w:ind w:hanging="0" w:start="1440" w:end="1440"/>
    </w:pPr>
    <w:rPr/>
  </w:style>
  <w:style w:type="paragraph" w:styleId="BodyText2">
    <w:name w:val="Body Text 2"/>
    <w:basedOn w:val="Normal"/>
    <w:qFormat/>
    <w:pPr>
      <w:spacing w:before="0" w:after="0"/>
    </w:pPr>
    <w:rPr/>
  </w:style>
  <w:style w:type="paragraph" w:styleId="BodyText3">
    <w:name w:val="Body Text 3"/>
    <w:basedOn w:val="Normal"/>
    <w:qFormat/>
    <w:pPr>
      <w:spacing w:lineRule="auto" w:line="360"/>
    </w:pPr>
    <w:rPr/>
  </w:style>
  <w:style w:type="paragraph" w:styleId="BodyTextFirstIndent">
    <w:name w:val="Body Text First Indent"/>
    <w:basedOn w:val="Normal"/>
    <w:qFormat/>
    <w:pPr>
      <w:spacing w:before="0" w:after="0"/>
      <w:ind w:firstLine="1440" w:start="0" w:end="0"/>
    </w:pPr>
    <w:rPr/>
  </w:style>
  <w:style w:type="paragraph" w:styleId="BodyTextFirstIndent2">
    <w:name w:val="Body Text First Indent 2"/>
    <w:basedOn w:val="Normal"/>
    <w:qFormat/>
    <w:pPr>
      <w:spacing w:lineRule="auto" w:line="480"/>
      <w:ind w:firstLine="1440" w:start="0" w:end="0"/>
    </w:pPr>
    <w:rPr/>
  </w:style>
  <w:style w:type="paragraph" w:styleId="BodyTextIndent2">
    <w:name w:val="Body Text Indent 2"/>
    <w:basedOn w:val="Normal"/>
    <w:qFormat/>
    <w:pPr>
      <w:spacing w:lineRule="auto" w:line="480"/>
      <w:ind w:firstLine="720" w:start="1440" w:end="1440"/>
    </w:pPr>
    <w:rPr/>
  </w:style>
  <w:style w:type="paragraph" w:styleId="BodyTextIndent3">
    <w:name w:val="Body Text Indent 3"/>
    <w:basedOn w:val="Normal"/>
    <w:qFormat/>
    <w:pPr>
      <w:spacing w:lineRule="auto" w:line="240"/>
      <w:ind w:hanging="0" w:start="1440" w:end="1440"/>
    </w:pPr>
    <w:rPr/>
  </w:style>
  <w:style w:type="paragraph" w:styleId="Signature">
    <w:name w:val="Signature"/>
    <w:basedOn w:val="Normal"/>
    <w:pPr>
      <w:tabs>
        <w:tab w:val="clear" w:pos="720"/>
        <w:tab w:val="right" w:pos="9360" w:leader="underscore"/>
      </w:tabs>
      <w:spacing w:lineRule="auto" w:line="240" w:before="0" w:after="0"/>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BodyTextFirstIndent3">
    <w:name w:val="Body Text First Indent 3"/>
    <w:basedOn w:val="Normal"/>
    <w:qFormat/>
    <w:pPr>
      <w:spacing w:lineRule="auto" w:line="360"/>
      <w:ind w:firstLine="1440" w:start="0" w:end="0"/>
    </w:pPr>
    <w:rPr/>
  </w:style>
  <w:style w:type="paragraph" w:styleId="DocumentMap">
    <w:name w:val="Document Map"/>
    <w:basedOn w:val="Normal"/>
    <w:qFormat/>
    <w:pPr>
      <w:shd w:fill="000080" w:val="clear"/>
    </w:pPr>
    <w:rPr>
      <w:rFonts w:ascii="Tahoma" w:hAnsi="Tahoma" w:cs="Tahoma"/>
    </w:rPr>
  </w:style>
  <w:style w:type="paragraph" w:styleId="TOC2">
    <w:name w:val="toc 2"/>
    <w:basedOn w:val="Normal"/>
    <w:next w:val="BodyText"/>
    <w:pPr>
      <w:tabs>
        <w:tab w:val="clear" w:pos="720"/>
        <w:tab w:val="left" w:pos="1440" w:leader="none"/>
        <w:tab w:val="right" w:pos="9350" w:leader="dot"/>
      </w:tabs>
      <w:spacing w:lineRule="auto" w:line="240"/>
      <w:ind w:hanging="720" w:start="1440" w:end="0"/>
    </w:pPr>
    <w:rPr>
      <w:smallCaps/>
      <w:sz w:val="20"/>
      <w:lang w:val="en-CA"/>
    </w:rPr>
  </w:style>
  <w:style w:type="paragraph" w:styleId="TOC1">
    <w:name w:val="toc 1"/>
    <w:basedOn w:val="Normal"/>
    <w:next w:val="BodyText"/>
    <w:pPr>
      <w:tabs>
        <w:tab w:val="left" w:pos="720" w:leader="none"/>
        <w:tab w:val="right" w:pos="9350" w:leader="dot"/>
      </w:tabs>
      <w:spacing w:lineRule="auto" w:line="240"/>
      <w:ind w:hanging="720" w:start="720" w:end="0"/>
    </w:pPr>
    <w:rPr>
      <w:caps/>
      <w:sz w:val="20"/>
      <w:lang w:val="en-CA"/>
    </w:rPr>
  </w:style>
  <w:style w:type="paragraph" w:styleId="TOC3">
    <w:name w:val="toc 3"/>
    <w:basedOn w:val="Normal"/>
    <w:next w:val="Normal"/>
    <w:pPr>
      <w:tabs>
        <w:tab w:val="clear" w:pos="720"/>
        <w:tab w:val="left" w:pos="2160" w:leader="none"/>
        <w:tab w:val="right" w:pos="9350" w:leader="dot"/>
      </w:tabs>
      <w:spacing w:lineRule="auto" w:line="240"/>
      <w:ind w:hanging="720" w:start="2160" w:end="0"/>
    </w:pPr>
    <w:rPr>
      <w:color w:val="000000"/>
      <w:sz w:val="20"/>
      <w:lang w:val="en-CA"/>
    </w:rPr>
  </w:style>
  <w:style w:type="paragraph" w:styleId="TOC4">
    <w:name w:val="toc 4"/>
    <w:basedOn w:val="Normal"/>
    <w:next w:val="Normal"/>
    <w:pPr>
      <w:tabs>
        <w:tab w:val="clear" w:pos="720"/>
        <w:tab w:val="left" w:pos="1440" w:leader="none"/>
        <w:tab w:val="right" w:pos="9350" w:leader="dot"/>
      </w:tabs>
      <w:spacing w:lineRule="auto" w:line="240"/>
      <w:ind w:hanging="720" w:start="1440" w:end="0"/>
    </w:pPr>
    <w:rPr>
      <w:sz w:val="22"/>
      <w:lang w:val="en-CA"/>
    </w:rPr>
  </w:style>
  <w:style w:type="paragraph" w:styleId="TOC5">
    <w:name w:val="toc 5"/>
    <w:basedOn w:val="Normal"/>
    <w:next w:val="Normal"/>
    <w:pPr>
      <w:spacing w:before="0" w:after="0"/>
      <w:ind w:hanging="0" w:start="960" w:end="0"/>
    </w:pPr>
    <w:rPr>
      <w:sz w:val="18"/>
    </w:rPr>
  </w:style>
  <w:style w:type="paragraph" w:styleId="BlockText">
    <w:name w:val="Block Text"/>
    <w:basedOn w:val="Normal"/>
    <w:qFormat/>
    <w:pPr>
      <w:spacing w:lineRule="auto" w:line="240"/>
      <w:ind w:hanging="0" w:start="1440" w:end="1440"/>
    </w:pPr>
    <w:rPr/>
  </w:style>
  <w:style w:type="paragraph" w:styleId="FootnoteText">
    <w:name w:val="footnote text"/>
    <w:basedOn w:val="Normal"/>
    <w:pPr>
      <w:tabs>
        <w:tab w:val="clear" w:pos="720"/>
        <w:tab w:val="left" w:pos="360" w:leader="none"/>
      </w:tabs>
      <w:spacing w:lineRule="auto" w:line="240"/>
      <w:ind w:hanging="360" w:start="360" w:end="0"/>
    </w:pPr>
    <w:rPr>
      <w:sz w:val="20"/>
    </w:rPr>
  </w:style>
  <w:style w:type="paragraph" w:styleId="CommentText">
    <w:name w:val="Comment Text"/>
    <w:basedOn w:val="Normal"/>
    <w:qFormat/>
    <w:pPr/>
    <w:rPr>
      <w:sz w:val="20"/>
    </w:rPr>
  </w:style>
  <w:style w:type="paragraph" w:styleId="ListBullet21">
    <w:name w:val="List Bullet 21"/>
    <w:basedOn w:val="Normal"/>
    <w:qFormat/>
    <w:pPr>
      <w:numPr>
        <w:ilvl w:val="0"/>
        <w:numId w:val="9"/>
      </w:numPr>
      <w:tabs>
        <w:tab w:val="clear" w:pos="720"/>
      </w:tabs>
      <w:spacing w:before="0" w:after="0"/>
    </w:pPr>
    <w:rPr/>
  </w:style>
  <w:style w:type="paragraph" w:styleId="SingleIndent">
    <w:name w:val="Single Indent"/>
    <w:basedOn w:val="BodyText"/>
    <w:qFormat/>
    <w:pPr>
      <w:spacing w:lineRule="auto" w:line="240" w:before="0" w:after="240"/>
      <w:ind w:hanging="0" w:start="1440" w:end="720"/>
    </w:pPr>
    <w:rPr/>
  </w:style>
  <w:style w:type="paragraph" w:styleId="Heading21">
    <w:name w:val="Heading 2]"/>
    <w:basedOn w:val="SingleIndent"/>
    <w:qFormat/>
    <w:pPr/>
    <w:rPr/>
  </w:style>
  <w:style w:type="paragraph" w:styleId="BodyTextIndent">
    <w:name w:val="Body Text Indent"/>
    <w:basedOn w:val="Normal"/>
    <w:pPr>
      <w:spacing w:before="0" w:after="120"/>
      <w:ind w:hanging="0" w:start="360" w:end="0"/>
    </w:pPr>
    <w:rPr/>
  </w:style>
  <w:style w:type="paragraph" w:styleId="Date">
    <w:name w:val="Date"/>
    <w:basedOn w:val="Normal"/>
    <w:next w:val="Normal"/>
    <w:qFormat/>
    <w:pPr/>
    <w:rPr/>
  </w:style>
  <w:style w:type="paragraph" w:styleId="EndnoteText">
    <w:name w:val="endnote text"/>
    <w:basedOn w:val="Normal"/>
    <w:pPr/>
    <w:rPr>
      <w:sz w:val="20"/>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TOC6">
    <w:name w:val="toc 6"/>
    <w:basedOn w:val="Normal"/>
    <w:next w:val="Normal"/>
    <w:pPr>
      <w:spacing w:before="0" w:after="0"/>
      <w:ind w:hanging="0" w:start="1200" w:end="0"/>
    </w:pPr>
    <w:rPr>
      <w:sz w:val="18"/>
    </w:rPr>
  </w:style>
  <w:style w:type="paragraph" w:styleId="TOC7">
    <w:name w:val="toc 7"/>
    <w:basedOn w:val="Normal"/>
    <w:next w:val="Normal"/>
    <w:pPr>
      <w:spacing w:before="0" w:after="0"/>
      <w:ind w:hanging="0" w:start="1440" w:end="0"/>
    </w:pPr>
    <w:rPr>
      <w:sz w:val="18"/>
    </w:rPr>
  </w:style>
  <w:style w:type="paragraph" w:styleId="TOC8">
    <w:name w:val="toc 8"/>
    <w:basedOn w:val="Normal"/>
    <w:next w:val="Normal"/>
    <w:pPr>
      <w:spacing w:before="0" w:after="0"/>
      <w:ind w:hanging="0" w:start="1680" w:end="0"/>
    </w:pPr>
    <w:rPr>
      <w:sz w:val="18"/>
    </w:rPr>
  </w:style>
  <w:style w:type="paragraph" w:styleId="TOC9">
    <w:name w:val="toc 9"/>
    <w:basedOn w:val="Normal"/>
    <w:next w:val="Normal"/>
    <w:pPr>
      <w:spacing w:before="0" w:after="0"/>
      <w:ind w:hanging="0" w:start="1920" w:end="0"/>
    </w:pPr>
    <w:rPr>
      <w:sz w:val="18"/>
    </w:rPr>
  </w:style>
  <w:style w:type="paragraph" w:styleId="DoubleIndent1">
    <w:name w:val="DoubleIndent1"/>
    <w:basedOn w:val="Normal"/>
    <w:qFormat/>
    <w:pPr>
      <w:spacing w:lineRule="auto" w:line="240"/>
      <w:ind w:firstLine="720" w:start="720" w:end="720"/>
    </w:pPr>
    <w:rPr/>
  </w:style>
  <w:style w:type="paragraph" w:styleId="BodyTextNoIndent">
    <w:name w:val="Body Text No Indent"/>
    <w:basedOn w:val="BodyText"/>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pedersent@jonesday.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2000-07-26T23:54:00Z</dcterms:created>
  <dc:creator>Robin Beaman</dc:creator>
  <dc:description/>
  <dc:language>en-CA</dc:language>
  <cp:lastModifiedBy>Registered User</cp:lastModifiedBy>
  <cp:lastPrinted>2000-07-31T21:08:00Z</cp:lastPrinted>
  <dcterms:modified xsi:type="dcterms:W3CDTF">2000-08-01T01:38:00Z</dcterms:modified>
  <cp:revision>302</cp:revision>
  <dc:subject/>
  <dc:title>  </dc:title>
</cp:coreProperties>
</file>