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before="600" w:after="480"/>
        <w:rPr>
          <w:rFonts w:ascii="Times New Roman" w:hAnsi="Times New Roman" w:cs="Times New Roman"/>
          <w:u w:val="single"/>
        </w:rPr>
      </w:pPr>
      <w:r>
        <w:rPr>
          <w:rFonts w:cs="Times New Roman" w:ascii="Times New Roman" w:hAnsi="Times New Roman"/>
          <w:u w:val="single"/>
        </w:rPr>
        <w:t>SELECTED PROPOSED FINDINGS OF FACT</w:t>
      </w:r>
    </w:p>
    <w:p>
      <w:pPr>
        <w:pStyle w:val="Heading1"/>
        <w:tabs>
          <w:tab w:val="clear" w:pos="720"/>
        </w:tabs>
        <w:ind w:hanging="0" w:start="0"/>
        <w:rPr/>
      </w:pPr>
      <w:r>
        <w:rPr/>
        <w:t>With the possible exception of some stretches of transmission lines at the very eastern end of the SoCalGas system that run from North Needles and Topock to the Newberry compressor station and from Blythe to the Moreno compressor station, the SoCalGas system operates as a grid with bi</w:t>
        <w:noBreakHyphen/>
        <w:t>directional flows on transmission lines.</w:t>
      </w:r>
    </w:p>
    <w:p>
      <w:pPr>
        <w:pStyle w:val="Heading1"/>
        <w:tabs>
          <w:tab w:val="clear" w:pos="720"/>
        </w:tabs>
        <w:ind w:hanging="0" w:start="0"/>
        <w:rPr/>
      </w:pPr>
      <w:r>
        <w:rPr/>
        <w:t>SoCalGas has 105.6 bcf of inventory, 803 MMcf/d of injection, and 3,125 MMcf/d of withdrawal capacity.</w:t>
      </w:r>
    </w:p>
    <w:p>
      <w:pPr>
        <w:pStyle w:val="Heading1"/>
        <w:tabs>
          <w:tab w:val="clear" w:pos="720"/>
        </w:tabs>
        <w:ind w:hanging="0" w:start="0"/>
        <w:rPr/>
      </w:pPr>
      <w:r>
        <w:rPr/>
        <w:t>SoCalGas’ “backbone” transmission system operates at a relatively high load factor of 78%.</w:t>
      </w:r>
    </w:p>
    <w:p>
      <w:pPr>
        <w:pStyle w:val="Heading1"/>
        <w:tabs>
          <w:tab w:val="clear" w:pos="720"/>
        </w:tabs>
        <w:ind w:hanging="0" w:start="0"/>
        <w:rPr/>
      </w:pPr>
      <w:r>
        <w:rPr/>
        <w:t>Currently, SoCalGas customers get the benefit of ample gas supplies that are competitively priced at major delivery points or “citygates” into the SoCalGas system, namely, Blythe, Topock, North Needles, Wheeler Ridge/Hector Road, North Coastal, and Line 85.</w:t>
      </w:r>
    </w:p>
    <w:p>
      <w:pPr>
        <w:pStyle w:val="Heading1"/>
        <w:tabs>
          <w:tab w:val="clear" w:pos="720"/>
        </w:tabs>
        <w:ind w:hanging="0" w:start="0"/>
        <w:rPr/>
      </w:pPr>
      <w:r>
        <w:rPr/>
        <w:t>At the existing citygate delivery points, gas supplies from the Permian and San Juan basins in the southwestern United States compete with supplies from the Rocky Mountains, Canada, offshore California, and California.</w:t>
      </w:r>
    </w:p>
    <w:p>
      <w:pPr>
        <w:pStyle w:val="Heading1"/>
        <w:tabs>
          <w:tab w:val="clear" w:pos="720"/>
        </w:tabs>
        <w:ind w:hanging="0" w:start="0"/>
        <w:rPr/>
      </w:pPr>
      <w:r>
        <w:rPr/>
        <w:t>Competition among the various gas supply sources at the existing citygates is so effective that for a recent twelve</w:t>
        <w:noBreakHyphen/>
        <w:t>month period the delivered prices for any given region traded no more than 1¢ per decatherm from the average price during each week.</w:t>
      </w:r>
    </w:p>
    <w:p>
      <w:pPr>
        <w:pStyle w:val="Heading1"/>
        <w:tabs>
          <w:tab w:val="clear" w:pos="720"/>
        </w:tabs>
        <w:ind w:hanging="0" w:start="0"/>
        <w:rPr/>
      </w:pPr>
      <w:r>
        <w:rPr/>
        <w:t>The competitiveness and liquidity of the existing citygate market is made possible by the abundance of pipeline capacity leading up to the citygates and the resulting ample “slack” factor.</w:t>
      </w:r>
    </w:p>
    <w:p>
      <w:pPr>
        <w:pStyle w:val="Heading1"/>
        <w:tabs>
          <w:tab w:val="clear" w:pos="720"/>
        </w:tabs>
        <w:ind w:hanging="0" w:start="0"/>
        <w:rPr/>
      </w:pPr>
      <w:r>
        <w:rPr/>
        <w:t>The incoming pipeline capacity at the SoCalGas receipt points greatly exceeds the 10% “slack factor” that was found necessary in D.90</w:t>
        <w:noBreakHyphen/>
        <w:t>02</w:t>
        <w:noBreakHyphen/>
        <w:t xml:space="preserve">016 insofar as the firm pipeline capacity leading up to the SoCalGas citygate is 6,150 MMcf/d but the daily average market served by that capacity is 3,912 MMcf/d, resulting in an incoming pipeline slack factor of over 36%.  </w:t>
      </w:r>
    </w:p>
    <w:p>
      <w:pPr>
        <w:pStyle w:val="Heading1"/>
        <w:tabs>
          <w:tab w:val="clear" w:pos="720"/>
        </w:tabs>
        <w:ind w:hanging="0" w:start="0"/>
        <w:rPr/>
      </w:pPr>
      <w:r>
        <w:rPr/>
        <w:t>Insofar as the incoming pipeline capacity at SoCalGas receipt points is 6,150 MMcf/d and the SoCalGas receipt point and “backbone” take away capacity is only 3,500 MMcf/d, SoCalGas receipt point and take away capacity is a bottleneck.</w:t>
      </w:r>
    </w:p>
    <w:p>
      <w:pPr>
        <w:pStyle w:val="Heading1"/>
        <w:tabs>
          <w:tab w:val="clear" w:pos="720"/>
        </w:tabs>
        <w:ind w:hanging="0" w:start="0"/>
        <w:rPr/>
      </w:pPr>
      <w:r>
        <w:rPr/>
        <w:t>The slack factor on the SoCalGas “backbone” take away capacity is approximately 22%, if slack capacity is measured on the basis of average year daily demand, and approximately 20% on the basis of cold year daily demand.</w:t>
      </w:r>
    </w:p>
    <w:p>
      <w:pPr>
        <w:pStyle w:val="Heading1"/>
        <w:tabs>
          <w:tab w:val="clear" w:pos="720"/>
        </w:tabs>
        <w:ind w:hanging="0" w:start="0"/>
        <w:rPr/>
      </w:pPr>
      <w:r>
        <w:rPr/>
        <w:t>A review of SoCalGas operating data for 1998 and 1999 indicates they were on average approximately 10 days each year during which the SoCalGas system was taking deliveries at or above 90% of the receipt point take away capacity.</w:t>
      </w:r>
    </w:p>
    <w:p>
      <w:pPr>
        <w:pStyle w:val="Heading1"/>
        <w:tabs>
          <w:tab w:val="clear" w:pos="720"/>
          <w:tab w:val="left" w:pos="1080" w:leader="none"/>
        </w:tabs>
        <w:ind w:hanging="0" w:start="0"/>
        <w:rPr/>
      </w:pPr>
      <w:r>
        <w:rPr/>
        <w:tab/>
        <w:t>SoCalGas’ demand forecasts indicate there will be a 17% increase in loads over the next 15 years.</w:t>
      </w:r>
    </w:p>
    <w:p>
      <w:pPr>
        <w:pStyle w:val="Heading1"/>
        <w:tabs>
          <w:tab w:val="clear" w:pos="720"/>
        </w:tabs>
        <w:ind w:hanging="0" w:start="0"/>
        <w:rPr/>
      </w:pPr>
      <w:r>
        <w:rPr/>
        <w:t>Incoming capacity is 43% more than the SoCalGas take away capacity of 3500 MMcf/d and 10% more than the total take away capacity of 5,530 MMcf/d, which includes PG&amp;E Line 300, Kern River, and Mojave.</w:t>
      </w:r>
    </w:p>
    <w:p>
      <w:pPr>
        <w:pStyle w:val="Heading1"/>
        <w:tabs>
          <w:tab w:val="clear" w:pos="720"/>
        </w:tabs>
        <w:ind w:hanging="0" w:start="0"/>
        <w:rPr/>
      </w:pPr>
      <w:r>
        <w:rPr/>
        <w:t>Even if the SoCalGas receipt point and backbone capacity slack factor approaches zero, there is still gas</w:t>
        <w:noBreakHyphen/>
        <w:t>on</w:t>
        <w:noBreakHyphen/>
        <w:t>gas competition on the 6,150 MMcf/d incoming pipeline capacity.</w:t>
      </w:r>
    </w:p>
    <w:p>
      <w:pPr>
        <w:pStyle w:val="Heading1"/>
        <w:tabs>
          <w:tab w:val="clear" w:pos="720"/>
        </w:tabs>
        <w:ind w:hanging="0" w:start="0"/>
        <w:rPr/>
      </w:pPr>
      <w:r>
        <w:rPr/>
        <w:t>Creating new intrastate citygates that are fed by capacity having a tighter slack factor would tend to have a negative effect on gas prices.</w:t>
      </w:r>
    </w:p>
    <w:p>
      <w:pPr>
        <w:pStyle w:val="Heading1"/>
        <w:tabs>
          <w:tab w:val="clear" w:pos="720"/>
        </w:tabs>
        <w:ind w:hanging="0" w:start="0"/>
        <w:rPr/>
      </w:pPr>
      <w:r>
        <w:rPr/>
        <w:t>When there is insufficient available transportation capacity, then that gas which has access to whatever capacity remains available is in a seller’s market and can demand a premium price.</w:t>
      </w:r>
    </w:p>
    <w:p>
      <w:pPr>
        <w:pStyle w:val="Heading1"/>
        <w:tabs>
          <w:tab w:val="clear" w:pos="720"/>
        </w:tabs>
        <w:ind w:hanging="0" w:start="0"/>
        <w:rPr/>
      </w:pPr>
      <w:r>
        <w:rPr/>
        <w:t>Under the Interim Settlement, customer control of the SoCalGas receipt points would be enhanced by the elimination of windowing and by fixing the amount of capacity that is available to customers on the basis of physical maximums for each receipt point.</w:t>
      </w:r>
    </w:p>
    <w:p>
      <w:pPr>
        <w:pStyle w:val="Heading1"/>
        <w:tabs>
          <w:tab w:val="clear" w:pos="720"/>
        </w:tabs>
        <w:ind w:hanging="0" w:start="0"/>
        <w:rPr/>
      </w:pPr>
      <w:r>
        <w:rPr/>
        <w:t>The Comprehensive Settlement turns control of an essential part of the distribution system of the utility over to unregulated third parties, giving the third parties the ability to manipulate the “bottleneck” capacity to drive up both capacity prices and new downstream citygate commodity prices.</w:t>
      </w:r>
    </w:p>
    <w:p>
      <w:pPr>
        <w:pStyle w:val="Heading1"/>
        <w:tabs>
          <w:tab w:val="clear" w:pos="720"/>
        </w:tabs>
        <w:ind w:hanging="0" w:start="0"/>
        <w:rPr/>
      </w:pPr>
      <w:r>
        <w:rPr/>
        <w:t>Although SoCalGas might have the ability to undercut any attempts by holders of “backbone” capacity to exercise market power by selling interruptible service, SoCalGas may have a mutual interest with marketers in withholding capacity to raise the price or to promote sales of any unsold firm capacity.</w:t>
      </w:r>
    </w:p>
    <w:p>
      <w:pPr>
        <w:pStyle w:val="Heading1"/>
        <w:tabs>
          <w:tab w:val="clear" w:pos="720"/>
        </w:tabs>
        <w:ind w:hanging="0" w:start="0"/>
        <w:rPr/>
      </w:pPr>
      <w:r>
        <w:rPr/>
        <w:t>The Comprehensive Settlement fails to require SoCalGas to sell interruptible capacity.</w:t>
      </w:r>
    </w:p>
    <w:p>
      <w:pPr>
        <w:pStyle w:val="Heading1"/>
        <w:tabs>
          <w:tab w:val="clear" w:pos="720"/>
        </w:tabs>
        <w:ind w:hanging="0" w:start="0"/>
        <w:rPr/>
      </w:pPr>
      <w:r>
        <w:rPr/>
        <w:t>The 40% market concentration limit contained in the Comprehensive Settlement would be ineffective because, by its terms, it is limited to the acquisition of “backbone” capacity in the initial open season.</w:t>
      </w:r>
    </w:p>
    <w:p>
      <w:pPr>
        <w:pStyle w:val="Heading1"/>
        <w:tabs>
          <w:tab w:val="clear" w:pos="720"/>
        </w:tabs>
        <w:ind w:hanging="0" w:start="0"/>
        <w:rPr/>
      </w:pPr>
      <w:r>
        <w:rPr/>
        <w:t>Through side deals with customers eligible to bid in the first two rounds of the Comprehensive Settlement initial season, a marketer could position itself to assemble rights to capacity at individual receipt points that would exceed the 40% limit.</w:t>
      </w:r>
    </w:p>
    <w:p>
      <w:pPr>
        <w:pStyle w:val="Heading1"/>
        <w:tabs>
          <w:tab w:val="clear" w:pos="720"/>
        </w:tabs>
        <w:ind w:hanging="0" w:start="0"/>
        <w:rPr/>
      </w:pPr>
      <w:r>
        <w:rPr/>
        <w:t>The open season procedures proposed in the Comprehensive Settlement would put noncore customers, including electric generators, at risk of being unable to obtain capacity that would match their requirements.</w:t>
      </w:r>
    </w:p>
    <w:p>
      <w:pPr>
        <w:pStyle w:val="Heading1"/>
        <w:tabs>
          <w:tab w:val="clear" w:pos="720"/>
        </w:tabs>
        <w:ind w:hanging="0" w:start="0"/>
        <w:rPr/>
      </w:pPr>
      <w:r>
        <w:rPr/>
        <w:t>The Comprehensive Settlement would prohibit new generators from bidding in the first two “customer</w:t>
        <w:noBreakHyphen/>
        <w:t>only” stages of the initial open season.</w:t>
      </w:r>
    </w:p>
    <w:p>
      <w:pPr>
        <w:pStyle w:val="Heading1"/>
        <w:tabs>
          <w:tab w:val="clear" w:pos="720"/>
        </w:tabs>
        <w:ind w:hanging="0" w:start="0"/>
        <w:rPr/>
      </w:pPr>
      <w:r>
        <w:rPr/>
        <w:t>An electric generator would not be permitted to bid for capacity based on its peak need, regardless of whether that was defined as being peak day or defined as being seasonal peak, under the Comprehensive Settlement.</w:t>
      </w:r>
    </w:p>
    <w:p>
      <w:pPr>
        <w:pStyle w:val="Heading1"/>
        <w:tabs>
          <w:tab w:val="clear" w:pos="720"/>
        </w:tabs>
        <w:ind w:hanging="0" w:start="0"/>
        <w:rPr/>
      </w:pPr>
      <w:r>
        <w:rPr/>
        <w:t>The actual capacity that would be made available in stages one and two of the initial open season under the Comprehensive Settlement would be 916 MMcf/d.</w:t>
      </w:r>
    </w:p>
    <w:p>
      <w:pPr>
        <w:pStyle w:val="Heading1"/>
        <w:tabs>
          <w:tab w:val="clear" w:pos="720"/>
        </w:tabs>
        <w:ind w:hanging="0" w:start="0"/>
        <w:rPr/>
      </w:pPr>
      <w:r>
        <w:rPr/>
        <w:t>Even if electric generator customers took every bit of capacity that would be made available in the first two stages of the initial open season, they would only be able to get 916 MMcf/d to meet their peak needs of 1,550 MMcf/d, leaving electric generators 40% short.</w:t>
      </w:r>
    </w:p>
    <w:p>
      <w:pPr>
        <w:pStyle w:val="Heading1"/>
        <w:tabs>
          <w:tab w:val="clear" w:pos="720"/>
        </w:tabs>
        <w:ind w:hanging="0" w:start="0"/>
        <w:rPr/>
      </w:pPr>
      <w:r>
        <w:rPr/>
        <w:t>The amount of capacity that SoCalGas would make available in the third stage of the initial open season is 1,150 MMcf/d.</w:t>
      </w:r>
    </w:p>
    <w:p>
      <w:pPr>
        <w:pStyle w:val="Heading1"/>
        <w:tabs>
          <w:tab w:val="clear" w:pos="720"/>
        </w:tabs>
        <w:ind w:hanging="0" w:start="0"/>
        <w:rPr/>
      </w:pPr>
      <w:r>
        <w:rPr/>
        <w:t>In the initial open season for PG&amp;E Redwood path capacity, 51% (926 MMcf/d) of the total capacity (1,803 MMcf/d) was awarded to marketers and only 15% (271 MMcf/d) was awarded to noncore end users.</w:t>
      </w:r>
    </w:p>
    <w:p>
      <w:pPr>
        <w:pStyle w:val="Heading1"/>
        <w:tabs>
          <w:tab w:val="clear" w:pos="720"/>
        </w:tabs>
        <w:ind w:hanging="0" w:start="0"/>
        <w:rPr/>
      </w:pPr>
      <w:r>
        <w:rPr/>
        <w:t>Under the Comprehensive Settlement open season, a marketer could acquire 20% of SoCalGas "backbone" capacity, which would be sufficient to permit the marketer to manipulate the markets for both "backbone" capacity and downstream citygate commodity.</w:t>
      </w:r>
    </w:p>
    <w:p>
      <w:pPr>
        <w:pStyle w:val="Heading1"/>
        <w:tabs>
          <w:tab w:val="clear" w:pos="720"/>
        </w:tabs>
        <w:ind w:hanging="0" w:start="0"/>
        <w:rPr/>
      </w:pPr>
      <w:r>
        <w:rPr/>
        <w:t>The SoCalGas Gas Acquisition department would operate its 1000 MMcf/d “backbone” capacity at an annual average load factor over 87%, assuming BCAP forecasted average year sales, and at full capacity during the summer injection season, making the core a limited source of release capacity during the summer.</w:t>
      </w:r>
    </w:p>
    <w:p>
      <w:pPr>
        <w:pStyle w:val="Heading1"/>
        <w:tabs>
          <w:tab w:val="clear" w:pos="720"/>
        </w:tabs>
        <w:ind w:hanging="0" w:start="0"/>
        <w:rPr/>
      </w:pPr>
      <w:r>
        <w:rPr/>
        <w:t>Marketers would be an uncertain source of secondary market capacity.</w:t>
      </w:r>
    </w:p>
    <w:p>
      <w:pPr>
        <w:pStyle w:val="Heading1"/>
        <w:tabs>
          <w:tab w:val="clear" w:pos="720"/>
        </w:tabs>
        <w:ind w:hanging="0" w:start="0"/>
        <w:rPr/>
      </w:pPr>
      <w:r>
        <w:rPr/>
        <w:t>Interruptible capacity is an inadequate substitute for firm capacity for customers such as electric generators.</w:t>
      </w:r>
    </w:p>
    <w:p>
      <w:pPr>
        <w:pStyle w:val="Heading1"/>
        <w:tabs>
          <w:tab w:val="clear" w:pos="720"/>
        </w:tabs>
        <w:ind w:hanging="0" w:start="0"/>
        <w:rPr/>
      </w:pPr>
      <w:r>
        <w:rPr/>
        <w:t>The Comprehensive Settlement would allocate “backbone” capacity on a pro rata basis rather on the basis of value.</w:t>
      </w:r>
    </w:p>
    <w:p>
      <w:pPr>
        <w:pStyle w:val="Heading1"/>
        <w:tabs>
          <w:tab w:val="clear" w:pos="720"/>
        </w:tabs>
        <w:ind w:hanging="0" w:start="0"/>
        <w:rPr/>
      </w:pPr>
      <w:r>
        <w:rPr/>
        <w:t>Imposing demand charges would shift risk of revenue recovery from shareholders to ratepayers.</w:t>
      </w:r>
    </w:p>
    <w:p>
      <w:pPr>
        <w:pStyle w:val="Heading1"/>
        <w:tabs>
          <w:tab w:val="clear" w:pos="720"/>
        </w:tabs>
        <w:ind w:hanging="0" w:start="0"/>
        <w:rPr/>
      </w:pPr>
      <w:r>
        <w:rPr/>
        <w:t>Demand charges for “backbone” transmission capacity would create an opportunity for SoCalGas to over-recover its “backbone” revenue requirement.</w:t>
      </w:r>
    </w:p>
    <w:p>
      <w:pPr>
        <w:pStyle w:val="Heading1"/>
        <w:tabs>
          <w:tab w:val="clear" w:pos="720"/>
        </w:tabs>
        <w:ind w:hanging="0" w:start="0"/>
        <w:rPr/>
      </w:pPr>
      <w:r>
        <w:rPr/>
        <w:t>Demand charges can dramatically increase the actually experienced unit cost of gas transmission service.</w:t>
      </w:r>
    </w:p>
    <w:p>
      <w:pPr>
        <w:pStyle w:val="Heading1"/>
        <w:tabs>
          <w:tab w:val="clear" w:pos="720"/>
        </w:tabs>
        <w:ind w:hanging="0" w:start="0"/>
        <w:rPr/>
      </w:pPr>
      <w:r>
        <w:rPr/>
        <w:t>A customer with a lower load factor such as 30% would face a trebling of the actual experienced unit cost of gas transmission service under a straight fixed variable (“SFV”) rate design and a doubling of the unit cost under 50/50 rate design.</w:t>
      </w:r>
    </w:p>
    <w:p>
      <w:pPr>
        <w:pStyle w:val="Heading1"/>
        <w:tabs>
          <w:tab w:val="clear" w:pos="720"/>
        </w:tabs>
        <w:ind w:hanging="0" w:start="0"/>
        <w:rPr/>
      </w:pPr>
      <w:r>
        <w:rPr/>
        <w:t>During the vast majority of the hours of the year, the PX price is determined by the running costs of the marginal gas-fired units selling into the PX.</w:t>
      </w:r>
    </w:p>
    <w:p>
      <w:pPr>
        <w:pStyle w:val="Heading1"/>
        <w:tabs>
          <w:tab w:val="clear" w:pos="720"/>
        </w:tabs>
        <w:ind w:hanging="0" w:start="0"/>
        <w:rPr/>
      </w:pPr>
      <w:r>
        <w:rPr/>
        <w:t>Demand charges create a price squeeze for EG customer insofar as the unit cost of transmission service would be increased by demand charges but PX prices would be depressed.</w:t>
      </w:r>
    </w:p>
    <w:p>
      <w:pPr>
        <w:pStyle w:val="Heading1"/>
        <w:tabs>
          <w:tab w:val="clear" w:pos="720"/>
        </w:tabs>
        <w:ind w:hanging="0" w:start="0"/>
        <w:rPr/>
      </w:pPr>
      <w:r>
        <w:rPr/>
        <w:t>Generators in the Los Angeles Basin have little opportunity to operate as reliability must run ("RMR") units.</w:t>
      </w:r>
    </w:p>
    <w:p>
      <w:pPr>
        <w:pStyle w:val="Heading1"/>
        <w:tabs>
          <w:tab w:val="clear" w:pos="720"/>
        </w:tabs>
        <w:ind w:hanging="0" w:start="0"/>
        <w:rPr/>
      </w:pPr>
      <w:r>
        <w:rPr/>
        <w:t>If generators are repeatedly subjected to a price squeeze between rising unit costs and falling electricity prices during off</w:t>
        <w:noBreakHyphen/>
        <w:t>peak and shoulder periods, and they are unable to recover the increased unit operating costs at other times as either RMR units or during periods of high demand, investors will be forced to consider closing plants and liquidating the assets.</w:t>
      </w:r>
    </w:p>
    <w:p>
      <w:pPr>
        <w:pStyle w:val="Heading1"/>
        <w:ind w:hanging="0" w:start="0"/>
        <w:rPr/>
      </w:pPr>
      <w:r>
        <w:rPr/>
        <w:t>The price squeeze that would result from instituting demand charges for “backbone” transmission capacity could slow the entry of new generation into the California market.</w:t>
      </w:r>
    </w:p>
    <w:p>
      <w:pPr>
        <w:pStyle w:val="Heading1"/>
        <w:ind w:hanging="0" w:start="0"/>
        <w:rPr/>
      </w:pPr>
      <w:r>
        <w:rPr/>
        <w:t>The core currently enjoys significant flexibility in utilizing gas transmission capacity.</w:t>
      </w:r>
    </w:p>
    <w:p>
      <w:pPr>
        <w:pStyle w:val="Heading1"/>
        <w:ind w:hanging="0" w:start="0"/>
        <w:rPr/>
      </w:pPr>
      <w:r>
        <w:rPr/>
        <w:t>Under the Comprehensive Settlement, the core would need to purchase additional gas supplies or transmission capacity during expensive high</w:t>
        <w:noBreakHyphen/>
        <w:t>demand periods as a result of the loss of its current flexibility in accessing transmission capacity.</w:t>
      </w:r>
    </w:p>
    <w:p>
      <w:pPr>
        <w:pStyle w:val="Heading1"/>
        <w:ind w:hanging="0" w:start="0"/>
        <w:rPr/>
      </w:pPr>
      <w:r>
        <w:rPr/>
        <w:t>Any cost saving that might be achieved by reducing the core's storage inventory reservation may be more than offset by the increased gas costs or increased costs of "backbone" transmission capacity that the core may be forced to acquire as a consequence of the inventory reduction.</w:t>
      </w:r>
    </w:p>
    <w:p>
      <w:pPr>
        <w:pStyle w:val="Heading1"/>
        <w:ind w:hanging="0" w:start="0"/>
        <w:rPr/>
      </w:pPr>
      <w:r>
        <w:rPr/>
        <w:t>Montebello capacity is not made available for sale under SoCalGas' unbundled storage program, and the costs of Montebello are not reflected in current storage rates.  Instead, Montebello costs are recovered through the LRMC scaler.</w:t>
      </w:r>
    </w:p>
    <w:p>
      <w:pPr>
        <w:pStyle w:val="Heading1"/>
        <w:ind w:hanging="0" w:start="0"/>
        <w:rPr/>
      </w:pPr>
      <w:r>
        <w:rPr/>
        <w:t>Under the Comprehensive Settlement, the core's share of Montebello costs would be increased from the current level of approximately 85 percent to approximately 95 percent.</w:t>
      </w:r>
    </w:p>
    <w:p>
      <w:pPr>
        <w:pStyle w:val="Heading1"/>
        <w:ind w:hanging="0" w:start="0"/>
        <w:rPr/>
      </w:pPr>
      <w:r>
        <w:rPr/>
        <w:t>Montebello has not been used and useful in providing utility service since before April, 1997.</w:t>
      </w:r>
    </w:p>
    <w:p>
      <w:pPr>
        <w:pStyle w:val="Heading1"/>
        <w:ind w:hanging="0" w:start="0"/>
        <w:rPr/>
      </w:pPr>
      <w:r>
        <w:rPr/>
        <w:t>Even under the more limited approach of the Interim and Post-Interim Settlements, the dramatic operational changes that would occur on the SoCalGas system may have unforeseen impacts on reliability.</w:t>
      </w:r>
    </w:p>
    <w:p>
      <w:pPr>
        <w:pStyle w:val="Heading1"/>
        <w:ind w:hanging="0" w:start="0"/>
        <w:rPr/>
      </w:pPr>
      <w:r>
        <w:rPr/>
        <w:t>It would be imprudent to permit CTAs to reject reliability storage at the very time that the reliability of the system may be affected in unforeseen ways by other significant agreed-upon reforms.</w:t>
      </w:r>
    </w:p>
    <w:p>
      <w:pPr>
        <w:pStyle w:val="Heading1"/>
        <w:ind w:hanging="0" w:start="0"/>
        <w:rPr/>
      </w:pPr>
      <w:r>
        <w:rPr/>
        <w:t>From the standpoint of promoting competition, it is preferable to avoid charges on storage trades.  Absent charges, parties would be more inclined to use an EBB and to make trades, facilitating liquidity of the secondary storage market.</w:t>
      </w:r>
    </w:p>
    <w:p>
      <w:pPr>
        <w:pStyle w:val="Heading1"/>
        <w:ind w:hanging="0" w:start="0"/>
        <w:rPr/>
      </w:pPr>
      <w:r>
        <w:rPr/>
        <w:t>Insofar as under SoCalGas' Schedule G-TBS the ceiling price for any specific storage service (injection, inventory, or withdrawal) is based on the sum of the prices under SoCalGas' Schedule G-LTS for inventory, injection, or withdrawal service, the Schedule G-TBS ceiling price is generous.</w:t>
      </w:r>
    </w:p>
    <w:p>
      <w:pPr>
        <w:pStyle w:val="Heading1"/>
        <w:ind w:hanging="0" w:start="0"/>
        <w:rPr/>
      </w:pPr>
      <w:r>
        <w:rPr/>
        <w:t xml:space="preserve">It is reasonable to put SoCalGas at risk for recovery of unbundled storage costs as of January 1, 2000 with a Schedule G-TBS cap on prices for unbundled storage.  The Schedule G-TBS cap provides SoCalGas with adequate pricing flexibility while protecting customers from the potential for monopoly pricing of unbundled storage services.   </w:t>
      </w:r>
    </w:p>
    <w:p>
      <w:pPr>
        <w:pStyle w:val="Heading1"/>
        <w:ind w:hanging="0" w:start="0"/>
        <w:rPr/>
      </w:pPr>
      <w:r>
        <w:rPr/>
        <w:t>Absent a price cap, SoCalGas would have the means as well as the incentive to exploit customers that need service storages.</w:t>
      </w:r>
    </w:p>
    <w:p>
      <w:pPr>
        <w:pStyle w:val="Heading1"/>
        <w:ind w:hanging="0" w:start="0"/>
        <w:rPr/>
      </w:pPr>
      <w:r>
        <w:rPr/>
        <w:t>SoCalGas is the dominant provider of gas storage service in southern California, and is likely to remain so, even if Montebello is operated by another firm.</w:t>
      </w:r>
    </w:p>
    <w:p>
      <w:pPr>
        <w:pStyle w:val="Heading1"/>
        <w:ind w:hanging="0" w:start="0"/>
        <w:rPr/>
      </w:pPr>
      <w:r>
        <w:rPr/>
        <w:t>Neither northern California storage operators, the secondary storage market, nor flowing supply provide meaningful competition with SoCalGas' storage.</w:t>
      </w:r>
    </w:p>
    <w:p>
      <w:pPr>
        <w:pStyle w:val="Heading1"/>
        <w:ind w:hanging="0" w:start="0"/>
        <w:rPr/>
      </w:pPr>
      <w:r>
        <w:rPr/>
        <w:t>If customers in southern California end up relying on marketers as heavily as they do in northern California under the Gas Accord, storage assets will be likely to be placed in the hands of a relatively few entities that could have very complex profit-driven motives for handling those assets and secondary market transactions.</w:t>
      </w:r>
    </w:p>
    <w:p>
      <w:pPr>
        <w:pStyle w:val="Heading1"/>
        <w:ind w:hanging="0" w:start="0"/>
        <w:rPr/>
      </w:pPr>
      <w:r>
        <w:rPr/>
        <w:t xml:space="preserve">SoCalGas can manipulate transmission system operations to make its storage services more attractive. </w:t>
      </w:r>
    </w:p>
    <w:p>
      <w:pPr>
        <w:pStyle w:val="Heading1"/>
        <w:ind w:hanging="0" w:start="0"/>
        <w:rPr/>
      </w:pPr>
      <w:r>
        <w:rPr/>
        <w:t>The Comprehensive Settlement standard package of storage products might be suitable for customers interested in seasonal storage, but that package is inadequate for customers interested in load balancing, which is likely to be the interest of noncore customers.</w:t>
      </w:r>
    </w:p>
    <w:p>
      <w:pPr>
        <w:pStyle w:val="Heading1"/>
        <w:ind w:hanging="0" w:start="0"/>
        <w:rPr/>
      </w:pPr>
      <w:r>
        <w:rPr/>
        <w:t>Both the core and noncore realize substantial benefits from the load diversity that exists on the SoCalGas system as a result of the system being balanced as a whole.</w:t>
      </w:r>
    </w:p>
    <w:p>
      <w:pPr>
        <w:pStyle w:val="Heading1"/>
        <w:ind w:hanging="0" w:start="0"/>
        <w:rPr/>
      </w:pPr>
      <w:r>
        <w:rPr/>
        <w:t>The core and noncore separately and significantly exceed the limits of their storage balancing assets, but the SoCalGas system as a whole exceeds the combined limits infrequently.</w:t>
      </w:r>
    </w:p>
    <w:p>
      <w:pPr>
        <w:pStyle w:val="Heading1"/>
        <w:ind w:hanging="0" w:start="0"/>
        <w:rPr/>
      </w:pPr>
      <w:r>
        <w:rPr/>
        <w:t>The core's current ability to shift injection to the spring and summer saves millions for the core.  The Comprehensive Settlement's elimination of the flexibility that the core now enjoys would cost core customers an additional $5.5 million per year.</w:t>
      </w:r>
    </w:p>
    <w:p>
      <w:pPr>
        <w:pStyle w:val="Heading1"/>
        <w:ind w:hanging="0" w:start="0"/>
        <w:rPr/>
      </w:pPr>
      <w:r>
        <w:rPr/>
        <w:t>The number and intensity of OFOs would increase dramatically for both core and noncore customers as a result of the loss of system-wide balancing combined with the reduction in balancing resources that would occur under the Comprehensive Settlement.  The core would have an 89-fold increase in OFO events.  The noncore would see a quadrupling of OFO events.</w:t>
      </w:r>
    </w:p>
    <w:p>
      <w:pPr>
        <w:pStyle w:val="Heading1"/>
        <w:ind w:hanging="0" w:start="0"/>
        <w:rPr/>
      </w:pPr>
      <w:r>
        <w:rPr/>
        <w:t>The reduction of injection balancing capacity proposed in the Comprehensive Settlement would increase the number of OFOs.</w:t>
      </w:r>
    </w:p>
    <w:p>
      <w:pPr>
        <w:pStyle w:val="Heading1"/>
        <w:ind w:hanging="0" w:start="0"/>
        <w:rPr/>
      </w:pPr>
      <w:r>
        <w:rPr/>
        <w:t>The Commission should allow time to examine the efficacy of reforms such as the elimination of windowing and the switch to an OFO regime before taking the further step of permitting self-balancing.</w:t>
      </w:r>
    </w:p>
    <w:p>
      <w:pPr>
        <w:pStyle w:val="Heading1"/>
        <w:ind w:hanging="0" w:start="0"/>
        <w:rPr/>
      </w:pPr>
      <w:r>
        <w:rPr/>
        <w:t>Allowing customers to self-balance would be likely to reduce the diversity of load that benefits all customers, thereby potentially increasing balancing costs for all remaining customers, including core customers.</w:t>
      </w:r>
    </w:p>
    <w:p>
      <w:pPr>
        <w:pStyle w:val="Heading1"/>
        <w:ind w:hanging="0" w:start="0"/>
        <w:rPr/>
      </w:pPr>
      <w:r>
        <w:rPr/>
        <w:t>The Comprehensive Settlement enlarges the flow of  hub-related revenues to shareholders.  SoCalGas' Gas Acquisition department would be limited to offering hub services that utilize core assets, with Gas Operations offering hub services utilizing remaining unused system assets with 100 percent of the revenues going to SoCalGas shareholders.</w:t>
      </w:r>
    </w:p>
    <w:p>
      <w:pPr>
        <w:pStyle w:val="Heading1"/>
        <w:ind w:hanging="0" w:start="0"/>
        <w:rPr/>
      </w:pPr>
      <w:r>
        <w:rPr/>
        <w:t>Liberalized imbalance trading provisions are important as measures to facilitate the development of a liquid imbalance trading market.</w:t>
      </w:r>
    </w:p>
    <w:p>
      <w:pPr>
        <w:pStyle w:val="Heading1"/>
        <w:ind w:hanging="0" w:start="0"/>
        <w:rPr/>
      </w:pPr>
      <w:r>
        <w:rPr/>
        <w:t>Imposing fees for liberalized imbalance trading would reduce the liquidity of the imbalance trading market, which is contrary to the very purpose of adopting liberalized trading rules.</w:t>
      </w:r>
    </w:p>
    <w:p>
      <w:pPr>
        <w:pStyle w:val="Heading1"/>
        <w:ind w:hanging="0" w:start="0"/>
        <w:rPr/>
      </w:pPr>
      <w:r>
        <w:rPr/>
        <w:t>The Interim Settlement provision for indexed rather than fixed penalty charges is superior to the Comprehensive Settlement Proposal for fixed charges insofar as, with fixed charges, customers may from time-to-time find they are advantaged by paying the fixed charge rather than staying in balance.</w:t>
      </w:r>
    </w:p>
    <w:p>
      <w:pPr>
        <w:pStyle w:val="Heading1"/>
        <w:ind w:hanging="0" w:start="0"/>
        <w:rPr/>
      </w:pPr>
      <w:r>
        <w:rPr/>
        <w:t>To permit SoCalGas to retain imbalance charges would result in an incentive for SoCalGas to operate the system so as to cause customers to incur imbalances.</w:t>
      </w:r>
    </w:p>
    <w:p>
      <w:pPr>
        <w:pStyle w:val="Heading1"/>
        <w:ind w:hanging="0" w:start="0"/>
        <w:rPr/>
      </w:pPr>
      <w:r>
        <w:rPr/>
        <w:t>Pools provide a mechanism through which customers may trade gas easily on an intra-day basis to avoid imbalances, thereby reducing costs for buyers and sellers alike.</w:t>
      </w:r>
    </w:p>
    <w:p>
      <w:pPr>
        <w:pStyle w:val="Heading1"/>
        <w:ind w:hanging="0" w:start="0"/>
        <w:rPr/>
      </w:pPr>
      <w:r>
        <w:rPr/>
        <w:t>Pools are an important competitive alternative to SoCalGas' hub and storage services.</w:t>
      </w:r>
    </w:p>
    <w:p>
      <w:pPr>
        <w:pStyle w:val="Heading1"/>
        <w:ind w:hanging="0" w:start="0"/>
        <w:rPr/>
      </w:pPr>
      <w:r>
        <w:rPr/>
        <w:t xml:space="preserve">Insofar as the Interim Settlement proposal for pooling provides customers with more flexibility than the proposal contained in the Comprehensive Settlement, it would result in a more liquid pooling market. </w:t>
      </w:r>
    </w:p>
    <w:p>
      <w:pPr>
        <w:pStyle w:val="Heading1"/>
        <w:ind w:hanging="0" w:start="0"/>
        <w:rPr/>
      </w:pPr>
      <w:r>
        <w:rPr/>
        <w:t>The Service Interruption Credit provides SoCalGas with an incentive to install such facilities as may be necessary from time-to-time to maintain a high quality of firm transportation service and to avoid a repeat of the curtailments of the 1980s.</w:t>
      </w:r>
    </w:p>
    <w:p>
      <w:pPr>
        <w:pStyle w:val="Heading1"/>
        <w:ind w:hanging="0" w:start="0"/>
        <w:rPr/>
      </w:pPr>
      <w:r>
        <w:rPr/>
        <w:t>SoCalGas should continue to be provided with an incentive to maintain a level of capacity that is adequate to provide firm transportation service to customers that require it.</w:t>
      </w:r>
    </w:p>
    <w:p>
      <w:pPr>
        <w:pStyle w:val="Heading1"/>
        <w:ind w:hanging="0" w:start="0"/>
        <w:rPr/>
      </w:pPr>
      <w:r>
        <w:rPr/>
        <w:t>Neither Edison nor SDG&amp;E filed applications for rehearing of the D.00-04-060 requiring SoCalGas to enforce its Wheeler Ridge access agreements with Edison and SDG&amp;E, but now SDG&amp;E and Edison collaterally attack the Commission's decision through the Comprehensive Settlement provision to rescind and suspend SoCalGas' agreements with Edison and SDG&amp;E.</w:t>
      </w:r>
    </w:p>
    <w:p>
      <w:pPr>
        <w:pStyle w:val="Heading1"/>
        <w:ind w:hanging="0" w:start="0"/>
        <w:rPr/>
      </w:pPr>
      <w:r>
        <w:rPr/>
        <w:t>The Comprehensive Settlement allows unbundling of interstate pipeline capacity for CTAs to turn into a windfall for CTAs with no assurance that competition will benefit or that customers will see any more of the subsidy than they would see if the more measured Post-Interim Settlement provisions were adopted.</w:t>
      </w:r>
    </w:p>
    <w:p>
      <w:pPr>
        <w:pStyle w:val="Heading1"/>
        <w:ind w:hanging="0" w:start="0"/>
        <w:rPr/>
      </w:pPr>
      <w:r>
        <w:rPr/>
        <w:t>Under the Post-Interim Settlement, CTAs would receive a subsidy of approximately $3.125 million, assuming 10 percent market penetration and the brokering of excess interstate pipeline capacity at 50 percent of the pipeline tariff rate, if interstate pipeline capacity were unbundled for CTAs.  The subsidy would be nearly doubled under the Comprehensive Settlement.</w:t>
      </w:r>
    </w:p>
    <w:p>
      <w:pPr>
        <w:pStyle w:val="Heading1"/>
        <w:ind w:hanging="0" w:start="0"/>
        <w:rPr/>
      </w:pPr>
      <w:r>
        <w:rPr/>
        <w:t>The Comprehensive Settlement imposes the burden of the CTAs' interstate pipeline capacity unbundling subsidy on customer classes that do not benefit from the CTA program.</w:t>
      </w:r>
    </w:p>
    <w:p>
      <w:pPr>
        <w:pStyle w:val="Heading1"/>
        <w:ind w:hanging="0" w:start="0"/>
        <w:rPr/>
      </w:pPr>
      <w:r>
        <w:rPr/>
        <w:t>CTAs could realize a benefit of 25-30 cents per dth as a result of storage unbundling in combination with interstate pipeline unbundling under the Comprehensive Settlement.</w:t>
      </w:r>
    </w:p>
    <w:p>
      <w:pPr>
        <w:pStyle w:val="Heading1"/>
        <w:ind w:hanging="0" w:start="0"/>
        <w:rPr/>
      </w:pPr>
      <w:r>
        <w:rPr/>
        <w:t>The information disclosure provisions of the Comprehensive Settlement decrease rather than increase the amount of information available to the market about market transactions.</w:t>
      </w:r>
    </w:p>
    <w:p>
      <w:pPr>
        <w:pStyle w:val="Heading1"/>
        <w:ind w:hanging="0" w:start="0"/>
        <w:rPr/>
      </w:pPr>
      <w:r>
        <w:rPr/>
        <w:t>The Comprehensive Settlement provides SoCalGas with a perverse incentive to drive up implementation costs so as to be able to retain pooling service fees, imbalance fees, net revenues from the sale or purchase of gas beyond imbalance tolerances, and rights trading fees that the Comprehensive Settlement would permit SoCalGas to keep as offsets to implementation costs.</w:t>
      </w:r>
    </w:p>
    <w:p>
      <w:pPr>
        <w:pStyle w:val="Heading1"/>
        <w:ind w:hanging="0" w:start="0"/>
        <w:rPr/>
      </w:pPr>
      <w:r>
        <w:rPr/>
        <w:t>The Comprehensive Settlement provides SoCalGas with a perverse incentive to drive up pooling service for imbalance fees, net revenues from the sale or purchase of gas beyond imbalance tolerances, and rights trading fees, insofar as SoCalGas would be permitted to keep all such fees, provided that it keeps implementation costs high enough.</w:t>
      </w:r>
    </w:p>
    <w:p>
      <w:pPr>
        <w:pStyle w:val="Heading1"/>
        <w:ind w:hanging="0" w:start="0"/>
        <w:rPr/>
      </w:pPr>
      <w:r>
        <w:rPr/>
        <w:t>SoCalGas should be given an incentive to maximize revenues derived as a result of brokering excess interstate pipeline capacity.</w:t>
      </w:r>
    </w:p>
    <w:p>
      <w:pPr>
        <w:pStyle w:val="Heading1"/>
        <w:ind w:hanging="0" w:start="0"/>
        <w:rPr/>
      </w:pPr>
      <w:r>
        <w:rPr/>
        <w:t xml:space="preserve">The Post-Interim Settlement's 75/25 ratepayer/shareholder formula for sharing ITCS costs is both fair and necessary.  It would give SoCalGas shareholders a direct stake in maximizing revenues received from brokering excess pipeline capacity.  Furthermore, the risk sharing provision would be imposed at a time when SoCalGas has new opportunities to minimize ITCS costs. </w:t>
      </w:r>
    </w:p>
    <w:p>
      <w:pPr>
        <w:pStyle w:val="Heading1"/>
        <w:ind w:hanging="0" w:start="0"/>
        <w:rPr/>
      </w:pPr>
      <w:r>
        <w:rPr/>
        <w:t>The Interim and Post-Interim Settlements would implement customer-driven reforms sooner than the Comprehensive Settlement.</w:t>
      </w:r>
    </w:p>
    <w:p>
      <w:pPr>
        <w:pStyle w:val="Heading1"/>
        <w:ind w:hanging="0" w:start="0"/>
        <w:rPr/>
      </w:pPr>
      <w:r>
        <w:rPr/>
        <w:t>The Comprehensive Settlement adopts an unrealistically hasty schedule for implementing far-reaching marketer-driven reforms.</w:t>
      </w:r>
    </w:p>
    <w:p>
      <w:pPr>
        <w:pStyle w:val="BodyText"/>
        <w:rPr/>
      </w:pPr>
      <w:r>
        <w:rPr/>
      </w:r>
    </w:p>
    <w:p>
      <w:pPr>
        <w:pStyle w:val="Heading1"/>
        <w:spacing w:before="0" w:after="240"/>
        <w:ind w:hanging="0" w:start="0"/>
        <w:rPr>
          <w:b/>
        </w:rPr>
      </w:pPr>
      <w:r>
        <w:rPr/>
        <w:t>In order to permit the timely consideration of issues in the next SoCalGas BCAP, SoCalGas should file its next BCAP application no later than July 1, 2001 so as to permit 18 months to process the application before the beginning of the next BCAP period, January 1, 2003.</w:t>
      </w:r>
    </w:p>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t>LA-1073283v1</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spacing w:lineRule="auto" w:line="480"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lineRule="auto" w:line="480"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bullet"/>
      <w:lvlText w:val=""/>
      <w:lvlJc w:val="start"/>
      <w:pPr>
        <w:tabs>
          <w:tab w:val="num" w:pos="1440"/>
        </w:tabs>
        <w:ind w:start="1440" w:hanging="720"/>
      </w:pPr>
      <w:rPr>
        <w:rFonts w:ascii="Symbol" w:hAnsi="Symbol" w:cs="Symbol" w:hint="default"/>
        <w:i w:val="false"/>
        <w:u w:val="none"/>
        <w:b/>
      </w:rPr>
    </w:lvl>
    <w:lvl w:ilvl="1">
      <w:start w:val="1"/>
      <w:pStyle w:val="Heading2"/>
      <w:numFmt w:val="upperLetter"/>
      <w:lvlText w:val="%2."/>
      <w:lvlJc w:val="start"/>
      <w:pPr>
        <w:tabs>
          <w:tab w:val="num" w:pos="1800"/>
        </w:tabs>
        <w:ind w:start="0" w:firstLine="1440"/>
      </w:pPr>
      <w:rPr>
        <w:sz w:val="24"/>
        <w:i w:val="false"/>
        <w:u w:val="none"/>
        <w:b/>
        <w:rFonts w:ascii="Times New Roman Bold" w:hAnsi="Times New Roman Bold" w:cs="Times New Roman Bold"/>
      </w:rPr>
    </w:lvl>
    <w:lvl w:ilvl="2">
      <w:start w:val="1"/>
      <w:pStyle w:val="Heading3"/>
      <w:numFmt w:val="decimal"/>
      <w:lvlText w:val="%3."/>
      <w:lvlJc w:val="start"/>
      <w:pPr>
        <w:tabs>
          <w:tab w:val="num" w:pos="1080"/>
        </w:tabs>
        <w:ind w:start="0" w:firstLine="720"/>
      </w:pPr>
      <w:rPr>
        <w:i w:val="false"/>
        <w:b/>
      </w:rPr>
    </w:lvl>
    <w:lvl w:ilvl="3">
      <w:start w:val="1"/>
      <w:pStyle w:val="Heading4"/>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color w:val="auto"/>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0" w:after="24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spacing w:lineRule="auto" w:line="240"/>
      <w:outlineLvl w:val="0"/>
    </w:pPr>
    <w:rPr/>
  </w:style>
  <w:style w:type="paragraph" w:styleId="Heading2">
    <w:name w:val="heading 2"/>
    <w:basedOn w:val="Normal"/>
    <w:next w:val="Heading3"/>
    <w:qFormat/>
    <w:pPr>
      <w:keepNext w:val="true"/>
      <w:keepLines/>
      <w:numPr>
        <w:ilvl w:val="1"/>
        <w:numId w:val="1"/>
      </w:numPr>
      <w:tabs>
        <w:tab w:val="clear" w:pos="720"/>
      </w:tabs>
      <w:spacing w:before="0" w:after="480"/>
      <w:outlineLvl w:val="1"/>
    </w:pPr>
    <w:rPr>
      <w:rFonts w:ascii="Times New Roman Bold" w:hAnsi="Times New Roman Bold" w:cs="Times New Roman Bold"/>
      <w:b/>
    </w:rPr>
  </w:style>
  <w:style w:type="paragraph" w:styleId="Heading3">
    <w:name w:val="heading 3"/>
    <w:basedOn w:val="ListBullet31"/>
    <w:next w:val="BodyText"/>
    <w:qFormat/>
    <w:pPr>
      <w:keepNext w:val="true"/>
      <w:numPr>
        <w:ilvl w:val="2"/>
        <w:numId w:val="1"/>
      </w:numPr>
      <w:spacing w:before="0" w:after="480"/>
      <w:outlineLvl w:val="2"/>
    </w:pPr>
    <w:rPr>
      <w:rFonts w:ascii="Times New Roman Bold" w:hAnsi="Times New Roman Bold" w:cs="Times New Roman Bold"/>
      <w:b/>
    </w:rPr>
  </w:style>
  <w:style w:type="paragraph" w:styleId="Heading4">
    <w:name w:val="heading 4"/>
    <w:basedOn w:val="Normal"/>
    <w:next w:val="Heading5"/>
    <w:qFormat/>
    <w:pPr>
      <w:keepNext w:val="true"/>
      <w:numPr>
        <w:ilvl w:val="3"/>
        <w:numId w:val="1"/>
      </w:numPr>
      <w:tabs>
        <w:tab w:val="clear" w:pos="720"/>
      </w:tabs>
      <w:spacing w:before="0" w:after="480"/>
      <w:outlineLvl w:val="3"/>
    </w:pPr>
    <w:rPr>
      <w:rFonts w:ascii="Times New Roman Bold" w:hAnsi="Times New Roman Bold" w:cs="Times New Roman Bold"/>
      <w:b/>
    </w:rPr>
  </w:style>
  <w:style w:type="paragraph" w:styleId="Heading5">
    <w:name w:val="heading 5"/>
    <w:basedOn w:val="Normal"/>
    <w:next w:val="Heading6"/>
    <w:qFormat/>
    <w:pPr>
      <w:spacing w:lineRule="auto" w:line="480" w:before="0" w:after="240"/>
      <w:outlineLvl w:val="4"/>
    </w:pPr>
    <w:rPr/>
  </w:style>
  <w:style w:type="paragraph" w:styleId="Heading6">
    <w:name w:val="heading 6"/>
    <w:basedOn w:val="Normal"/>
    <w:next w:val="Heading7"/>
    <w:qFormat/>
    <w:pPr>
      <w:spacing w:lineRule="auto" w:line="480" w:before="0" w:after="240"/>
      <w:outlineLvl w:val="5"/>
    </w:pPr>
    <w:rPr/>
  </w:style>
  <w:style w:type="paragraph" w:styleId="Heading7">
    <w:name w:val="heading 7"/>
    <w:basedOn w:val="Normal"/>
    <w:next w:val="Heading8"/>
    <w:qFormat/>
    <w:pPr>
      <w:spacing w:lineRule="auto" w:line="480" w:before="0" w:after="240"/>
      <w:outlineLvl w:val="6"/>
    </w:pPr>
    <w:rPr/>
  </w:style>
  <w:style w:type="paragraph" w:styleId="Heading8">
    <w:name w:val="heading 8"/>
    <w:basedOn w:val="Normal"/>
    <w:next w:val="Heading9"/>
    <w:qFormat/>
    <w:pPr>
      <w:spacing w:lineRule="auto" w:line="480" w:before="0" w:after="240"/>
      <w:outlineLvl w:val="7"/>
    </w:pPr>
    <w:rPr/>
  </w:style>
  <w:style w:type="paragraph" w:styleId="Heading9">
    <w:name w:val="heading 9"/>
    <w:basedOn w:val="Normal"/>
    <w:next w:val="BodyText"/>
    <w:qFormat/>
    <w:pPr>
      <w:spacing w:lineRule="auto" w:line="480"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b/>
      <w:i w:val="false"/>
      <w:u w:val="none"/>
    </w:rPr>
  </w:style>
  <w:style w:type="character" w:styleId="WW8Num12z1">
    <w:name w:val="WW8Num12z1"/>
    <w:qFormat/>
    <w:rPr>
      <w:rFonts w:ascii="Times New Roman Bold" w:hAnsi="Times New Roman Bold" w:cs="Times New Roman Bold"/>
      <w:b/>
      <w:i w:val="false"/>
      <w:sz w:val="24"/>
      <w:u w:val="none"/>
    </w:rPr>
  </w:style>
  <w:style w:type="character" w:styleId="WW8Num12z2">
    <w:name w:val="WW8Num12z2"/>
    <w:qFormat/>
    <w:rPr>
      <w:b/>
      <w:i w:val="fals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4"/>
    </w:rPr>
  </w:style>
  <w:style w:type="character" w:styleId="Strong">
    <w:name w:val="Strong"/>
    <w:basedOn w:val="DefaultParagraphFont"/>
    <w:qFormat/>
    <w:rPr>
      <w:b/>
    </w:rPr>
  </w:style>
  <w:style w:type="paragraph" w:styleId="Heading">
    <w:name w:val="Heading"/>
    <w:basedOn w:val="Normal"/>
    <w:next w:val="BodyText"/>
    <w:qFormat/>
    <w:pPr>
      <w:keepNext w:val="true"/>
      <w:jc w:val="center"/>
      <w:outlineLvl w:val="0"/>
    </w:pPr>
    <w:rPr>
      <w:rFonts w:ascii="Times New Roman Bold" w:hAnsi="Times New Roman Bold" w:cs="Times New Roman Bold"/>
      <w:b/>
    </w:rPr>
  </w:style>
  <w:style w:type="paragraph" w:styleId="BodyText">
    <w:name w:val="Body Text"/>
    <w:basedOn w:val="Normal"/>
    <w:pPr>
      <w:spacing w:lineRule="auto" w:line="480"/>
      <w:ind w:firstLine="720" w:start="0" w:end="0"/>
    </w:pPr>
    <w:rPr/>
  </w:style>
  <w:style w:type="paragraph" w:styleId="List">
    <w:name w:val="List"/>
    <w:basedOn w:val="Normal"/>
    <w:pPr>
      <w:spacing w:lineRule="auto" w:line="480" w:before="0" w:after="240"/>
      <w:ind w:hanging="360" w:start="360" w:end="0"/>
    </w:pPr>
    <w:rPr/>
  </w:style>
  <w:style w:type="paragraph" w:styleId="Caption">
    <w:name w:val="caption"/>
    <w:basedOn w:val="Normal"/>
    <w:next w:val="Normal"/>
    <w:qFormat/>
    <w:pPr>
      <w:spacing w:lineRule="auto" w:line="480" w:before="120" w:after="120"/>
    </w:pPr>
    <w:rPr>
      <w:b/>
    </w:rPr>
  </w:style>
  <w:style w:type="paragraph" w:styleId="Index">
    <w:name w:val="Index"/>
    <w:basedOn w:val="Normal"/>
    <w:qFormat/>
    <w:pPr>
      <w:suppressLineNumbers/>
    </w:pPr>
    <w:rPr>
      <w:rFonts w:cs="NotoSans NF"/>
    </w:rPr>
  </w:style>
  <w:style w:type="paragraph" w:styleId="ListBullet31">
    <w:name w:val="List Bullet 31"/>
    <w:basedOn w:val="Normal"/>
    <w:qFormat/>
    <w:pPr>
      <w:numPr>
        <w:ilvl w:val="0"/>
        <w:numId w:val="8"/>
      </w:numPr>
      <w:tabs>
        <w:tab w:val="clear" w:pos="720"/>
      </w:tabs>
      <w:spacing w:lineRule="auto" w:line="480" w:before="0" w:after="24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pPr>
    <w:rPr/>
  </w:style>
  <w:style w:type="paragraph" w:styleId="BodyText3">
    <w:name w:val="Body Text 3"/>
    <w:basedOn w:val="Normal"/>
    <w:qFormat/>
    <w:pPr>
      <w:spacing w:lineRule="auto" w:line="360" w:before="0" w:after="240"/>
    </w:pPr>
    <w:rPr/>
  </w:style>
  <w:style w:type="paragraph" w:styleId="BodyTextFirstIndent">
    <w:name w:val="Body Text First Indent"/>
    <w:basedOn w:val="Normal"/>
    <w:qFormat/>
    <w:pPr>
      <w:spacing w:lineRule="auto" w:line="480"/>
      <w:ind w:firstLine="1440" w:start="0" w:end="0"/>
    </w:pPr>
    <w:rPr/>
  </w:style>
  <w:style w:type="paragraph" w:styleId="BodyTextIndent">
    <w:name w:val="Body Text Indent"/>
    <w:basedOn w:val="Normal"/>
    <w:pPr>
      <w:spacing w:lineRule="auto" w:line="480" w:before="0" w:after="120"/>
      <w:ind w:hanging="0" w:start="360" w:end="0"/>
    </w:pPr>
    <w:rPr/>
  </w:style>
  <w:style w:type="paragraph" w:styleId="BodyTextFirstIndent2">
    <w:name w:val="Body Text First Indent 2"/>
    <w:basedOn w:val="Normal"/>
    <w:qFormat/>
    <w:pPr>
      <w:spacing w:lineRule="auto" w:line="480" w:before="0" w:after="240"/>
      <w:ind w:firstLine="1440" w:start="0" w:end="0"/>
    </w:pPr>
    <w:rPr/>
  </w:style>
  <w:style w:type="paragraph" w:styleId="BodyTextIndent2">
    <w:name w:val="Body Text Indent 2"/>
    <w:basedOn w:val="Normal"/>
    <w:qFormat/>
    <w:pPr>
      <w:spacing w:lineRule="auto" w:line="480" w:before="0" w:after="240"/>
      <w:ind w:firstLine="720" w:start="1440" w:end="1440"/>
    </w:pPr>
    <w:rPr/>
  </w:style>
  <w:style w:type="paragraph" w:styleId="BodyTextIndent3">
    <w:name w:val="Body Text Indent 3"/>
    <w:basedOn w:val="Normal"/>
    <w:qFormat/>
    <w:pPr>
      <w:spacing w:before="0" w:after="240"/>
      <w:ind w:hanging="0" w:start="1440" w:end="1440"/>
    </w:pPr>
    <w:rPr/>
  </w:style>
  <w:style w:type="paragraph" w:styleId="Closing">
    <w:name w:val="Closing"/>
    <w:basedOn w:val="Normal"/>
    <w:qFormat/>
    <w:pPr>
      <w:spacing w:lineRule="auto" w:line="480" w:before="0" w:after="240"/>
      <w:ind w:hanging="0" w:start="5040" w:end="0"/>
    </w:pPr>
    <w:rPr/>
  </w:style>
  <w:style w:type="paragraph" w:styleId="EndnoteText">
    <w:name w:val="endnote text"/>
    <w:basedOn w:val="Normal"/>
    <w:pPr>
      <w:spacing w:lineRule="auto" w:line="480" w:before="0" w:after="240"/>
    </w:pPr>
    <w:rPr>
      <w:sz w:val="20"/>
    </w:rPr>
  </w:style>
  <w:style w:type="paragraph" w:styleId="EnvelopeAddress">
    <w:name w:val="envelope address"/>
    <w:basedOn w:val="Normal"/>
    <w:pPr>
      <w:spacing w:lineRule="auto" w:line="480" w:before="0" w:after="240"/>
      <w:ind w:hanging="0" w:start="2880" w:end="0"/>
    </w:pPr>
    <w:rPr/>
  </w:style>
  <w:style w:type="paragraph" w:styleId="EnvelopeReturn">
    <w:name w:val="envelope return"/>
    <w:basedOn w:val="Normal"/>
    <w:pPr>
      <w:spacing w:lineRule="auto" w:line="480"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lineRule="auto" w:line="480" w:before="0" w:after="240"/>
    </w:pPr>
    <w:rPr/>
  </w:style>
  <w:style w:type="paragraph" w:styleId="FootnoteText">
    <w:name w:val="footnote text"/>
    <w:basedOn w:val="Normal"/>
    <w:pPr>
      <w:tabs>
        <w:tab w:val="clear" w:pos="720"/>
        <w:tab w:val="left" w:pos="360" w:leader="none"/>
      </w:tabs>
      <w:spacing w:before="0" w:after="240"/>
      <w:ind w:hanging="360" w:start="360" w:end="0"/>
    </w:pPr>
    <w:rPr>
      <w:sz w:val="20"/>
    </w:rPr>
  </w:style>
  <w:style w:type="paragraph" w:styleId="Header">
    <w:name w:val="header"/>
    <w:basedOn w:val="Normal"/>
    <w:pPr>
      <w:tabs>
        <w:tab w:val="clear" w:pos="720"/>
        <w:tab w:val="center" w:pos="4680" w:leader="none"/>
        <w:tab w:val="right" w:pos="9360" w:leader="none"/>
      </w:tabs>
      <w:spacing w:lineRule="auto" w:line="480" w:before="0" w:after="240"/>
    </w:pPr>
    <w:rPr/>
  </w:style>
  <w:style w:type="paragraph" w:styleId="Index1">
    <w:name w:val="index 1"/>
    <w:basedOn w:val="Normal"/>
    <w:next w:val="Normal"/>
    <w:pPr>
      <w:spacing w:lineRule="auto" w:line="480" w:before="0" w:after="240"/>
      <w:ind w:hanging="360" w:start="360" w:end="0"/>
    </w:pPr>
    <w:rPr/>
  </w:style>
  <w:style w:type="paragraph" w:styleId="IndexHeading">
    <w:name w:val="index heading"/>
    <w:basedOn w:val="Normal"/>
    <w:next w:val="Index1"/>
    <w:pPr>
      <w:spacing w:lineRule="auto" w:line="480" w:before="0" w:after="240"/>
    </w:pPr>
    <w:rPr>
      <w:b/>
    </w:rPr>
  </w:style>
  <w:style w:type="paragraph" w:styleId="ListBullet">
    <w:name w:val="List Bullet"/>
    <w:basedOn w:val="Normal"/>
    <w:qFormat/>
    <w:pPr>
      <w:numPr>
        <w:ilvl w:val="0"/>
        <w:numId w:val="11"/>
      </w:numPr>
      <w:tabs>
        <w:tab w:val="clear" w:pos="720"/>
      </w:tabs>
      <w:spacing w:lineRule="auto" w:line="480" w:before="0" w:after="240"/>
    </w:pPr>
    <w:rPr/>
  </w:style>
  <w:style w:type="paragraph" w:styleId="ListBullet21">
    <w:name w:val="List Bullet 21"/>
    <w:basedOn w:val="Normal"/>
    <w:qFormat/>
    <w:pPr>
      <w:numPr>
        <w:ilvl w:val="0"/>
        <w:numId w:val="9"/>
      </w:numPr>
      <w:tabs>
        <w:tab w:val="clear" w:pos="720"/>
      </w:tabs>
    </w:pPr>
    <w:rPr/>
  </w:style>
  <w:style w:type="paragraph" w:styleId="PlainText">
    <w:name w:val="Plain Text"/>
    <w:basedOn w:val="Normal"/>
    <w:qFormat/>
    <w:pPr/>
    <w:rPr/>
  </w:style>
  <w:style w:type="paragraph" w:styleId="Signature">
    <w:name w:val="Signature"/>
    <w:basedOn w:val="Normal"/>
    <w:pPr>
      <w:tabs>
        <w:tab w:val="clear" w:pos="720"/>
        <w:tab w:val="right" w:pos="9360" w:leader="underscore"/>
      </w:tabs>
      <w:spacing w:lineRule="auto" w:line="240" w:before="0" w:after="0"/>
      <w:ind w:hanging="0" w:start="4680" w:end="0"/>
    </w:pPr>
    <w:rPr/>
  </w:style>
  <w:style w:type="paragraph" w:styleId="Subtitle">
    <w:name w:val="Subtitle"/>
    <w:basedOn w:val="Normal"/>
    <w:next w:val="BodyText"/>
    <w:qFormat/>
    <w:pPr>
      <w:spacing w:before="600" w:after="480"/>
      <w:jc w:val="center"/>
      <w:outlineLvl w:val="1"/>
    </w:pPr>
    <w:rPr>
      <w:rFonts w:ascii="Times New Roman Bold" w:hAnsi="Times New Roman Bold" w:cs="Times New Roman Bold"/>
      <w:b/>
    </w:rPr>
  </w:style>
  <w:style w:type="paragraph" w:styleId="TableofAuthorities">
    <w:name w:val="Table of Authorities"/>
    <w:basedOn w:val="Normal"/>
    <w:next w:val="Normal"/>
    <w:qFormat/>
    <w:pPr>
      <w:ind w:hanging="240" w:start="240" w:end="0"/>
    </w:pPr>
    <w:rPr/>
  </w:style>
  <w:style w:type="paragraph" w:styleId="BodyTextFirstIndent3">
    <w:name w:val="Body Text First Indent 3"/>
    <w:basedOn w:val="Normal"/>
    <w:qFormat/>
    <w:pPr>
      <w:spacing w:lineRule="auto" w:line="360" w:before="0" w:after="240"/>
      <w:ind w:firstLine="1440" w:start="0" w:end="0"/>
    </w:pPr>
    <w:rPr/>
  </w:style>
  <w:style w:type="paragraph" w:styleId="BodyTextNoIndent">
    <w:name w:val="Body Text No Indent"/>
    <w:basedOn w:val="BodyText"/>
    <w:qFormat/>
    <w:pPr>
      <w:ind w:hanging="0" w:start="0" w:end="0"/>
    </w:pPr>
    <w:rPr/>
  </w:style>
  <w:style w:type="paragraph" w:styleId="Quote">
    <w:name w:val="Quote"/>
    <w:basedOn w:val="Normal"/>
    <w:next w:val="BodyText"/>
    <w:qFormat/>
    <w:pPr>
      <w:spacing w:lineRule="auto" w:line="240"/>
      <w:ind w:hanging="0" w:start="1440" w:end="1440"/>
    </w:pPr>
    <w:rPr/>
  </w:style>
  <w:style w:type="paragraph" w:styleId="Bold">
    <w:name w:val="Bold"/>
    <w:basedOn w:val="Normal"/>
    <w:next w:val="BodyText"/>
    <w:qFormat/>
    <w:pPr>
      <w:keepNext w:val="true"/>
      <w:spacing w:before="0" w:after="240"/>
    </w:pPr>
    <w:rPr>
      <w:b/>
    </w:rPr>
  </w:style>
  <w:style w:type="paragraph" w:styleId="BoldCapCenter">
    <w:name w:val="BoldCapCenter"/>
    <w:basedOn w:val="Normal"/>
    <w:next w:val="BodyText"/>
    <w:qFormat/>
    <w:pPr>
      <w:keepNext w:val="true"/>
      <w:spacing w:before="0" w:after="240"/>
      <w:jc w:val="center"/>
    </w:pPr>
    <w:rPr>
      <w:b/>
      <w:caps/>
    </w:rPr>
  </w:style>
  <w:style w:type="paragraph" w:styleId="Underline">
    <w:name w:val="Underline"/>
    <w:basedOn w:val="Normal"/>
    <w:next w:val="BodyText"/>
    <w:qFormat/>
    <w:pPr>
      <w:keepNext w:val="true"/>
      <w:spacing w:before="0" w:after="240"/>
    </w:pPr>
    <w:rPr>
      <w:u w:val="single"/>
    </w:rPr>
  </w:style>
  <w:style w:type="paragraph" w:styleId="Italic">
    <w:name w:val="Italic"/>
    <w:basedOn w:val="Normal"/>
    <w:next w:val="BodyText"/>
    <w:qFormat/>
    <w:pPr>
      <w:keepNext w:val="true"/>
      <w:spacing w:before="0" w:after="240"/>
    </w:pPr>
    <w:rPr>
      <w:i/>
    </w:rPr>
  </w:style>
  <w:style w:type="paragraph" w:styleId="ListContinue5">
    <w:name w:val="List Continue 5"/>
    <w:basedOn w:val="Normal"/>
    <w:qFormat/>
    <w:pPr>
      <w:spacing w:lineRule="auto" w:line="480" w:before="0" w:after="120"/>
      <w:ind w:hanging="0" w:start="1800" w:end="0"/>
    </w:pPr>
    <w:rPr/>
  </w:style>
  <w:style w:type="paragraph" w:styleId="CommentText">
    <w:name w:val="Comment Text"/>
    <w:basedOn w:val="Normal"/>
    <w:qFormat/>
    <w:pPr>
      <w:spacing w:lineRule="auto" w:line="480" w:before="0" w:after="240"/>
    </w:pPr>
    <w:rPr>
      <w:sz w:val="20"/>
    </w:rPr>
  </w:style>
  <w:style w:type="paragraph" w:styleId="Date">
    <w:name w:val="Date"/>
    <w:basedOn w:val="Normal"/>
    <w:next w:val="Normal"/>
    <w:qFormat/>
    <w:pPr>
      <w:spacing w:lineRule="auto" w:line="480" w:before="0" w:after="240"/>
    </w:pPr>
    <w:rPr/>
  </w:style>
  <w:style w:type="paragraph" w:styleId="DocumentMap">
    <w:name w:val="Document Map"/>
    <w:basedOn w:val="Normal"/>
    <w:qFormat/>
    <w:pPr>
      <w:shd w:fill="000080" w:val="clear"/>
      <w:spacing w:lineRule="auto" w:line="480" w:before="0" w:after="240"/>
    </w:pPr>
    <w:rPr>
      <w:rFonts w:ascii="Tahoma" w:hAnsi="Tahoma" w:cs="Tahoma"/>
    </w:rPr>
  </w:style>
  <w:style w:type="paragraph" w:styleId="Index2">
    <w:name w:val="index 2"/>
    <w:basedOn w:val="Normal"/>
    <w:next w:val="Normal"/>
    <w:pPr>
      <w:spacing w:lineRule="auto" w:line="480" w:before="0" w:after="240"/>
      <w:ind w:hanging="240" w:start="480" w:end="0"/>
    </w:pPr>
    <w:rPr/>
  </w:style>
  <w:style w:type="paragraph" w:styleId="Index3">
    <w:name w:val="index 3"/>
    <w:basedOn w:val="Normal"/>
    <w:next w:val="Normal"/>
    <w:pPr>
      <w:spacing w:lineRule="auto" w:line="480" w:before="0" w:after="240"/>
      <w:ind w:hanging="240" w:start="720" w:end="0"/>
    </w:pPr>
    <w:rPr/>
  </w:style>
  <w:style w:type="paragraph" w:styleId="Index4">
    <w:name w:val="Index 4"/>
    <w:basedOn w:val="Normal"/>
    <w:next w:val="Normal"/>
    <w:qFormat/>
    <w:pPr>
      <w:spacing w:lineRule="auto" w:line="480" w:before="0" w:after="240"/>
      <w:ind w:hanging="240" w:start="960" w:end="0"/>
    </w:pPr>
    <w:rPr/>
  </w:style>
  <w:style w:type="paragraph" w:styleId="Index5">
    <w:name w:val="Index 5"/>
    <w:basedOn w:val="Normal"/>
    <w:next w:val="Normal"/>
    <w:qFormat/>
    <w:pPr>
      <w:spacing w:lineRule="auto" w:line="480" w:before="0" w:after="240"/>
      <w:ind w:hanging="240" w:start="1200" w:end="0"/>
    </w:pPr>
    <w:rPr/>
  </w:style>
  <w:style w:type="paragraph" w:styleId="Index6">
    <w:name w:val="Index 6"/>
    <w:basedOn w:val="Normal"/>
    <w:next w:val="Normal"/>
    <w:qFormat/>
    <w:pPr>
      <w:spacing w:lineRule="auto" w:line="480" w:before="0" w:after="240"/>
      <w:ind w:hanging="240" w:start="1440" w:end="0"/>
    </w:pPr>
    <w:rPr/>
  </w:style>
  <w:style w:type="paragraph" w:styleId="Index7">
    <w:name w:val="Index 7"/>
    <w:basedOn w:val="Normal"/>
    <w:next w:val="Normal"/>
    <w:qFormat/>
    <w:pPr>
      <w:spacing w:lineRule="auto" w:line="480" w:before="0" w:after="240"/>
      <w:ind w:hanging="240" w:start="1680" w:end="0"/>
    </w:pPr>
    <w:rPr/>
  </w:style>
  <w:style w:type="paragraph" w:styleId="Index8">
    <w:name w:val="Index 8"/>
    <w:basedOn w:val="Normal"/>
    <w:next w:val="Normal"/>
    <w:qFormat/>
    <w:pPr>
      <w:spacing w:lineRule="auto" w:line="480" w:before="0" w:after="240"/>
      <w:ind w:hanging="240" w:start="1920" w:end="0"/>
    </w:pPr>
    <w:rPr/>
  </w:style>
  <w:style w:type="paragraph" w:styleId="Index9">
    <w:name w:val="Index 9"/>
    <w:basedOn w:val="Normal"/>
    <w:next w:val="Normal"/>
    <w:qFormat/>
    <w:pPr>
      <w:spacing w:lineRule="auto" w:line="480" w:before="0" w:after="240"/>
      <w:ind w:hanging="240" w:start="2160" w:end="0"/>
    </w:pPr>
    <w:rPr/>
  </w:style>
  <w:style w:type="paragraph" w:styleId="ListBullet2">
    <w:name w:val="List Bullet 2"/>
    <w:basedOn w:val="Normal"/>
    <w:pPr>
      <w:spacing w:lineRule="auto" w:line="480" w:before="0" w:after="240"/>
      <w:ind w:hanging="360" w:start="720" w:end="0"/>
    </w:pPr>
    <w:rPr/>
  </w:style>
  <w:style w:type="paragraph" w:styleId="ListBullet3">
    <w:name w:val="List Bullet 3"/>
    <w:basedOn w:val="Normal"/>
    <w:pPr>
      <w:spacing w:lineRule="auto" w:line="480" w:before="0" w:after="240"/>
      <w:ind w:hanging="360" w:start="1080" w:end="0"/>
    </w:pPr>
    <w:rPr/>
  </w:style>
  <w:style w:type="paragraph" w:styleId="ListBullet4">
    <w:name w:val="List Bullet 4"/>
    <w:basedOn w:val="Normal"/>
    <w:pPr>
      <w:spacing w:lineRule="auto" w:line="480" w:before="0" w:after="240"/>
      <w:ind w:hanging="360" w:start="1440" w:end="0"/>
    </w:pPr>
    <w:rPr/>
  </w:style>
  <w:style w:type="paragraph" w:styleId="ListBullet5">
    <w:name w:val="List Bullet 5"/>
    <w:basedOn w:val="Normal"/>
    <w:pPr>
      <w:spacing w:lineRule="auto" w:line="480" w:before="0" w:after="240"/>
      <w:ind w:hanging="360" w:start="1800" w:end="0"/>
    </w:pPr>
    <w:rPr/>
  </w:style>
  <w:style w:type="paragraph" w:styleId="ListBullet41">
    <w:name w:val="List Bullet 41"/>
    <w:basedOn w:val="Normal"/>
    <w:qFormat/>
    <w:pPr>
      <w:numPr>
        <w:ilvl w:val="0"/>
        <w:numId w:val="7"/>
      </w:numPr>
      <w:tabs>
        <w:tab w:val="clear" w:pos="720"/>
      </w:tabs>
      <w:spacing w:lineRule="auto" w:line="480" w:before="0" w:after="240"/>
    </w:pPr>
    <w:rPr/>
  </w:style>
  <w:style w:type="paragraph" w:styleId="ListBullet51">
    <w:name w:val="List Bullet 51"/>
    <w:basedOn w:val="Normal"/>
    <w:qFormat/>
    <w:pPr>
      <w:numPr>
        <w:ilvl w:val="0"/>
        <w:numId w:val="6"/>
      </w:numPr>
      <w:tabs>
        <w:tab w:val="clear" w:pos="720"/>
      </w:tabs>
      <w:spacing w:lineRule="auto" w:line="480" w:before="0" w:after="240"/>
    </w:pPr>
    <w:rPr/>
  </w:style>
  <w:style w:type="paragraph" w:styleId="ListContinue">
    <w:name w:val="List Continue"/>
    <w:basedOn w:val="Normal"/>
    <w:qFormat/>
    <w:pPr>
      <w:spacing w:lineRule="auto" w:line="480" w:before="0" w:after="120"/>
      <w:ind w:hanging="0" w:start="360" w:end="0"/>
    </w:pPr>
    <w:rPr/>
  </w:style>
  <w:style w:type="paragraph" w:styleId="ListContinue2">
    <w:name w:val="List Continue 2"/>
    <w:basedOn w:val="Normal"/>
    <w:qFormat/>
    <w:pPr>
      <w:spacing w:lineRule="auto" w:line="480" w:before="0" w:after="120"/>
      <w:ind w:hanging="0" w:start="720" w:end="0"/>
    </w:pPr>
    <w:rPr/>
  </w:style>
  <w:style w:type="paragraph" w:styleId="ListContinue3">
    <w:name w:val="List Continue 3"/>
    <w:basedOn w:val="Normal"/>
    <w:qFormat/>
    <w:pPr>
      <w:spacing w:lineRule="auto" w:line="480" w:before="0" w:after="120"/>
      <w:ind w:hanging="0" w:start="1080" w:end="0"/>
    </w:pPr>
    <w:rPr/>
  </w:style>
  <w:style w:type="paragraph" w:styleId="ListNumber">
    <w:name w:val="List Number"/>
    <w:basedOn w:val="Normal"/>
    <w:qFormat/>
    <w:pPr>
      <w:numPr>
        <w:ilvl w:val="0"/>
        <w:numId w:val="10"/>
      </w:numPr>
      <w:tabs>
        <w:tab w:val="clear" w:pos="720"/>
      </w:tabs>
      <w:spacing w:lineRule="auto" w:line="480" w:before="0" w:after="240"/>
    </w:pPr>
    <w:rPr/>
  </w:style>
  <w:style w:type="paragraph" w:styleId="ListNumber2">
    <w:name w:val="List Number 2"/>
    <w:basedOn w:val="Normal"/>
    <w:qFormat/>
    <w:pPr>
      <w:numPr>
        <w:ilvl w:val="0"/>
        <w:numId w:val="5"/>
      </w:numPr>
      <w:tabs>
        <w:tab w:val="clear" w:pos="720"/>
      </w:tabs>
      <w:spacing w:lineRule="auto" w:line="480" w:before="0" w:after="240"/>
    </w:pPr>
    <w:rPr/>
  </w:style>
  <w:style w:type="paragraph" w:styleId="ListNumber3">
    <w:name w:val="List Number 3"/>
    <w:basedOn w:val="Normal"/>
    <w:qFormat/>
    <w:pPr>
      <w:numPr>
        <w:ilvl w:val="0"/>
        <w:numId w:val="4"/>
      </w:numPr>
      <w:tabs>
        <w:tab w:val="clear" w:pos="720"/>
      </w:tabs>
      <w:spacing w:lineRule="auto" w:line="480" w:before="0" w:after="24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spacing w:lineRule="auto" w:line="480" w:before="0" w:after="240"/>
      <w:ind w:hanging="1080" w:start="1080" w:end="0"/>
    </w:pPr>
    <w:rPr>
      <w:rFonts w:ascii="Arial" w:hAnsi="Arial" w:cs="Arial"/>
    </w:rPr>
  </w:style>
  <w:style w:type="paragraph" w:styleId="NormalIndent">
    <w:name w:val="Normal Indent"/>
    <w:basedOn w:val="Normal"/>
    <w:qFormat/>
    <w:pPr>
      <w:ind w:hanging="0" w:start="72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TOC2">
    <w:name w:val="toc 2"/>
    <w:basedOn w:val="Normal"/>
    <w:next w:val="BodyText"/>
    <w:pPr>
      <w:tabs>
        <w:tab w:val="left" w:pos="720" w:leader="none"/>
        <w:tab w:val="left" w:pos="1440" w:leader="none"/>
        <w:tab w:val="right" w:pos="9350" w:leader="dot"/>
      </w:tabs>
      <w:spacing w:lineRule="auto" w:line="240"/>
      <w:ind w:hanging="720" w:start="1440" w:end="720"/>
    </w:pPr>
    <w:rPr>
      <w:lang w:val="en-CA"/>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TOC1">
    <w:name w:val="toc 1"/>
    <w:basedOn w:val="Normal"/>
    <w:next w:val="BodyText"/>
    <w:pPr>
      <w:tabs>
        <w:tab w:val="left" w:pos="720" w:leader="none"/>
        <w:tab w:val="left" w:pos="1440" w:leader="none"/>
        <w:tab w:val="right" w:pos="9350" w:leader="dot"/>
      </w:tabs>
      <w:spacing w:lineRule="auto" w:line="240"/>
      <w:ind w:hanging="720" w:start="720" w:end="720"/>
    </w:pPr>
    <w:rPr>
      <w:color w:val="000000"/>
      <w:lang w:val="en-CA"/>
    </w:rPr>
  </w:style>
  <w:style w:type="paragraph" w:styleId="TOC9">
    <w:name w:val="toc 9"/>
    <w:basedOn w:val="Normal"/>
    <w:next w:val="Normal"/>
    <w:pPr>
      <w:ind w:hanging="0" w:start="1920" w:end="0"/>
    </w:pPr>
    <w:rPr/>
  </w:style>
  <w:style w:type="paragraph" w:styleId="TOC8">
    <w:name w:val="toc 8"/>
    <w:basedOn w:val="Normal"/>
    <w:next w:val="Normal"/>
    <w:pPr>
      <w:ind w:hanging="0" w:start="1680" w:end="0"/>
    </w:pPr>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5">
    <w:name w:val="toc 5"/>
    <w:basedOn w:val="Normal"/>
    <w:next w:val="Normal"/>
    <w:pPr>
      <w:ind w:hanging="0" w:start="2880" w:end="0"/>
    </w:pPr>
    <w:rPr/>
  </w:style>
  <w:style w:type="paragraph" w:styleId="TOC4">
    <w:name w:val="toc 4"/>
    <w:basedOn w:val="Normal"/>
    <w:next w:val="Normal"/>
    <w:pPr>
      <w:tabs>
        <w:tab w:val="clear" w:pos="720"/>
        <w:tab w:val="left" w:pos="1440" w:leader="none"/>
        <w:tab w:val="right" w:pos="9350" w:leader="dot"/>
      </w:tabs>
      <w:spacing w:lineRule="auto" w:line="240"/>
      <w:ind w:hanging="720" w:start="2880" w:end="720"/>
    </w:pPr>
    <w:rPr>
      <w:color w:val="000000"/>
      <w:lang w:val="en-CA"/>
    </w:rPr>
  </w:style>
  <w:style w:type="paragraph" w:styleId="TOC3">
    <w:name w:val="toc 3"/>
    <w:basedOn w:val="Normal"/>
    <w:next w:val="Normal"/>
    <w:pPr>
      <w:tabs>
        <w:tab w:val="clear" w:pos="720"/>
        <w:tab w:val="right" w:pos="2160" w:leader="none"/>
        <w:tab w:val="right" w:pos="9350" w:leader="dot"/>
      </w:tabs>
      <w:spacing w:lineRule="auto" w:line="240"/>
      <w:ind w:hanging="432" w:start="1872" w:end="720"/>
    </w:pPr>
    <w:rPr>
      <w:color w:val="000000"/>
      <w:lang w:val="en-CA"/>
    </w:rPr>
  </w:style>
  <w:style w:type="paragraph" w:styleId="SingleIndent">
    <w:name w:val="Single Indent"/>
    <w:basedOn w:val="BodyText"/>
    <w:qFormat/>
    <w:pPr>
      <w:spacing w:lineRule="auto" w:line="240" w:before="0" w:after="240"/>
      <w:ind w:hanging="0" w:start="1440" w:end="720"/>
    </w:pPr>
    <w:rPr/>
  </w:style>
  <w:style w:type="paragraph" w:styleId="Heading21">
    <w:name w:val="Heading 2]"/>
    <w:basedOn w:val="SingleIndent"/>
    <w:qFormat/>
    <w:pPr/>
    <w:rPr/>
  </w:style>
  <w:style w:type="paragraph" w:styleId="ListContinue4">
    <w:name w:val="List Continue 4"/>
    <w:basedOn w:val="Normal"/>
    <w:qFormat/>
    <w:pPr>
      <w:spacing w:lineRule="auto" w:line="480" w:before="0" w:after="120"/>
      <w:ind w:hanging="0" w:start="1440" w:end="0"/>
    </w:pPr>
    <w:rPr/>
  </w:style>
  <w:style w:type="paragraph" w:styleId="ListNumber4">
    <w:name w:val="List Number 4"/>
    <w:basedOn w:val="Normal"/>
    <w:qFormat/>
    <w:pPr>
      <w:numPr>
        <w:ilvl w:val="0"/>
        <w:numId w:val="3"/>
      </w:numPr>
      <w:tabs>
        <w:tab w:val="clear" w:pos="720"/>
      </w:tabs>
      <w:spacing w:lineRule="auto" w:line="480" w:before="0" w:after="240"/>
    </w:pPr>
    <w:rPr/>
  </w:style>
  <w:style w:type="paragraph" w:styleId="ListNumber5">
    <w:name w:val="List Number 5"/>
    <w:basedOn w:val="Normal"/>
    <w:qFormat/>
    <w:pPr>
      <w:numPr>
        <w:ilvl w:val="0"/>
        <w:numId w:val="2"/>
      </w:numPr>
      <w:tabs>
        <w:tab w:val="clear" w:pos="720"/>
      </w:tabs>
      <w:spacing w:lineRule="auto" w:line="480" w:before="0" w:after="24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2000-07-10T02:14:00Z</dcterms:created>
  <dc:creator>Registered User</dc:creator>
  <dc:description/>
  <dc:language>en-CA</dc:language>
  <cp:lastModifiedBy>Registered User</cp:lastModifiedBy>
  <cp:lastPrinted>2000-07-10T19:29:00Z</cp:lastPrinted>
  <dcterms:modified xsi:type="dcterms:W3CDTF">2000-07-11T00:00:00Z</dcterms:modified>
  <cp:revision>132</cp:revision>
  <dc:subject/>
  <dc:title>EXECUTIVE SUMMARY</dc:title>
</cp:coreProperties>
</file>