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lineRule="auto" w:line="240" w:before="120" w:after="0"/>
        <w:rPr/>
      </w:pPr>
      <w:r>
        <w:rPr/>
        <w:t>SOUTHERN CALIFORNIA GENERATION COALITION</w:t>
      </w:r>
    </w:p>
    <w:p>
      <w:pPr>
        <w:pStyle w:val="Subtitle"/>
        <w:spacing w:before="120" w:after="120"/>
        <w:rPr/>
      </w:pPr>
      <w:r>
        <w:rPr/>
        <w:t>OPENING BRIEF</w:t>
      </w:r>
    </w:p>
    <w:p>
      <w:pPr>
        <w:pStyle w:val="Subtitle"/>
        <w:spacing w:before="120" w:after="120"/>
        <w:rPr>
          <w:u w:val="single"/>
        </w:rPr>
      </w:pPr>
      <w:r>
        <w:rPr>
          <w:u w:val="single"/>
        </w:rPr>
        <w:t>EXECUTIVE SUMMARY</w:t>
      </w:r>
    </w:p>
    <w:p>
      <w:pPr>
        <w:pStyle w:val="Heading1"/>
        <w:rPr/>
      </w:pPr>
      <w:r>
        <w:rPr>
          <w:rFonts w:eastAsia="Times New Roman Bold"/>
          <w:u w:val="none"/>
        </w:rPr>
        <w:t xml:space="preserve"> </w:t>
      </w:r>
      <w:r>
        <w:rPr/>
        <w:t>Introduction</w:t>
      </w:r>
    </w:p>
    <w:p>
      <w:pPr>
        <w:pStyle w:val="BodyText"/>
        <w:rPr/>
      </w:pPr>
      <w:r>
        <w:rPr/>
        <w:t>The challenge faced by the Commission in this case is to chose between two radically different visions of the future for the Southern California Gas Company ("SoCalGas").  The Interim and Post-Interim Settlements propose customer-driven reforms that are specifically targeted to benefit customers.  The Comprehensive Settlement goes beyond the Interim and Post-Interim Settlements to propose broader restructuring that would raise costs for customers while creating new profit opportunities for marketers and SoCalGas.  Marketers have driven the Comprehensive Settlement, and they are in it to make money.</w:t>
      </w:r>
    </w:p>
    <w:p>
      <w:pPr>
        <w:pStyle w:val="BodyText"/>
        <w:rPr/>
      </w:pPr>
      <w:r>
        <w:rPr/>
        <w:t>Some of the biggest benefits of the Interim and Post-Interim Settlements lie in what they would not do.  They preserve the benefits of the current highly competitive SoCalGas citygate gas market by avoiding the creation of a "backbone" transmission bottleneck that could be exploited by marketers and middlemen.  They avoid increasing unit transmission costs for customers by retaining volumetric charges.  They avoid raising transaction costs for customers.  They avoid breaking up the system so that the benefits of load diversity are lost to customers.</w:t>
      </w:r>
    </w:p>
    <w:p>
      <w:pPr>
        <w:pStyle w:val="BodyText"/>
        <w:rPr/>
      </w:pPr>
      <w:r>
        <w:rPr/>
        <w:t>On the positive side, the Interim Settlement provides a host of benefits to customers.  It eliminates the current "windowing" process so that customers will have more certainty that their nominations for transportation service will be fulfilled.  It creates an entirely new intrastate gas market by providing for the establishment of pools of transportation gas on the SoCalGas system.  It dramatically liberalizes the trading of imbalances in the interest of creating a liquid imbalance market.  It creates a secondary market for trading storage contracts through an electronic bulletin board.  Lastly, the Interim Settlement puts a definite cap on implementation costs with no possibility of overruns.</w:t>
      </w:r>
    </w:p>
    <w:p>
      <w:pPr>
        <w:pStyle w:val="BodyText"/>
        <w:rPr/>
      </w:pPr>
      <w:r>
        <w:rPr/>
        <w:t>The Post-Interim Settlement provides even more benefits to customers.  Perhaps most important are its proscriptions against measures that harm customers.  For example, the Post-Interim Settlement prohibits intrastate "backbone" transmission unbundling until September 1, 2006.  On the positive side, the Post-Interim Settlement eliminates the allocation of Interstate Transition Cost Surcharge ("ITCS") costs to core customers, and it provides SoCalGas with a long-needed incentive to be diligent in selling stranded intrastate pipeline capacity.  The Post-Interim Settlement unbundles intrastate pipeline capacity for core transportation agents ("CTAs") while assuring that the responsibility for any resulting stranded costs shall be allocated primarily to the customers that benefit the most from the CTA program.  The Post-Interim Settlement eliminates customer responsibility for unbundled storage costs as of January 1, 2003 while establishing a reasonable cap on SoCalGas prices for storage services that provides opportunity to SoCalGas while preventing monopoly pricing, and the Post-Interim Settlement relieves customers of the burden of the unused and unuseful Montebello storage field.</w:t>
      </w:r>
    </w:p>
    <w:p>
      <w:pPr>
        <w:pStyle w:val="BodyText"/>
        <w:rPr/>
      </w:pPr>
      <w:r>
        <w:rPr/>
        <w:t>The Interim and Post-Interim Settlements would be especially helpful to low load factor customers such as core customers and electric generators.  Adopting the Interim and Post -Interim Settlements will reduce residential rates and keep them down by banning steps that would be likely to drive rates in the opposite direction.  For electric generators, the Interim and Post-Interim settlements will facilitate more efficient and economical operations while avoiding the devastating impact of the Comprehensive Settlement.  By contrast, the Comprehensive Settlement would drive costs up for both core customers and electric generators.  It would subject generators in a price squeeze that could threaten the viability of marginal units, and it would strip customers of the benefits of load diversity.</w:t>
      </w:r>
    </w:p>
    <w:p>
      <w:pPr>
        <w:pStyle w:val="Heading1"/>
        <w:rPr>
          <w:b w:val="false"/>
        </w:rPr>
      </w:pPr>
      <w:r>
        <w:rPr>
          <w:rFonts w:eastAsia="Times New Roman Bold"/>
          <w:b w:val="false"/>
          <w:u w:val="none"/>
        </w:rPr>
        <w:t xml:space="preserve"> </w:t>
      </w:r>
      <w:r>
        <w:rPr>
          <w:b w:val="false"/>
        </w:rPr>
        <w:t>Transmission</w:t>
      </w:r>
    </w:p>
    <w:p>
      <w:pPr>
        <w:pStyle w:val="BodyText"/>
        <w:rPr/>
      </w:pPr>
      <w:r>
        <w:rPr/>
        <w:t>The Comprehensive Settlement proposes to unbundle “backbone” transmission facilities for marketers at the expense of raising costs and threatening reliability of service for customers.  The unbundling of transmission facilities is advertised as being an unbundling of "backbone" capacity similar to the unbundling of Pacific Gas and Electric Company ("PG&amp;E") transmission capacity in the Gas Accord, but that is a fiction.  The SoCalGas system is primarily a grid with gas flowing bi-directionally.  It is inappropriate to foist "backbone" unbundling on a system that lacks a backbone.</w:t>
      </w:r>
    </w:p>
    <w:p>
      <w:pPr>
        <w:pStyle w:val="BodyText"/>
        <w:rPr/>
      </w:pPr>
      <w:r>
        <w:rPr/>
        <w:t>Currently, SoCalGas customers benefit from robust gas-on-gas competition at existing citygates.  The competition is made possible by an ample slack factor of approximately 36% on incoming pipelines.  SoCalGas' receipt point and "backbone" takeaway capacity, however, is a bottleneck that has a much lower slack factor.  While the lower "backbone" slack factor has little impact on gas prices at the existing citygates, it could cause higher gas prices at the new downstream citygates that would be created under the Comprehensive Settlement, exposing customers to the risk of higher gas prices.</w:t>
      </w:r>
    </w:p>
    <w:p>
      <w:pPr>
        <w:pStyle w:val="BodyText"/>
        <w:rPr/>
      </w:pPr>
      <w:r>
        <w:rPr/>
        <w:t>High demand, in itself, could result in higher gas prices at the new citygates downstream of the constrained SoCalGas receipt points and "backbone" capacity.  More ominously, the Comprehensive Settlement would provide an opportunity for third parties to seize control of the essential bottleneck facilities, putting themselves between customers and the existing highly liquid and competitive citygate markets.  Insofar as the Comprehensive Settlement fails to follow the lead of the Federal Energy Regulatory Commission ("FERC") Order No. 637 so as to require the primary seller of capacity to sell interruptible capacity if its available, the sale of interruptible capacity would not be a dependable restraint on third party manipulation of bottleneck receipt point and "backbone" capacity.  Likewise, the "40 percent market concentration limit" proposed in the Comprehensive Settlement could easily be circumvented by a marketer desiring to establish a dominant position in holding "backbone" capacity.</w:t>
      </w:r>
    </w:p>
    <w:p>
      <w:pPr>
        <w:pStyle w:val="BodyText"/>
        <w:rPr/>
      </w:pPr>
      <w:r>
        <w:rPr/>
        <w:t>Noncore customers would not be able to use the Comprehensive Settlement open season to obtain the capacity that they may need to assure reliable transmission service and access to the existing liquid citygate markets.  The Comprehensive Settlement contains provisions that explicitly prevent customers from getting their full requirements.  First, the Comprehensive Settlement explicitly prohibits new generators from bidding in the first and second "customer-only" stages of the initial open season.  Second, the Comprehensive Settlement provides for a formula that explicitly prohibits customers, including electric generators, from submitting bids for capacity sufficient to meet their peak requirements.  Third, the Comprehensive Settlement sharply restricts the amount of capacity that would be made available during the first two "customer-only" stages of the initial open season.  Fourth, given the experience of the bidding for PG&amp;E "backbone" capacity, customers would not have a realistic chance to use the final “all comers” stage of the initial open season as an opportunity to get the capacity that they were prevented from getting during the first two stages of the initial open season.</w:t>
      </w:r>
    </w:p>
    <w:p>
      <w:pPr>
        <w:pStyle w:val="BodyText"/>
        <w:rPr/>
      </w:pPr>
      <w:r>
        <w:rPr/>
        <w:t>The secondary market would not be a viable source of capacity that the Comprehensive Settlement rules prevent noncore customers from getting during open season.  Due to maximum utilization of its reserved capacity during the summer gas injection season, the SoCalGas Gas Acquisition Department would be an unlikely source of secondary market capacity.  Marketers would also be an unlikely source.  They may be better able to maximize revenues from their "backbone" capacity holdings by withholding capacity rather than selling it.  Customers that were thwarted in the open season and that are unable to get the capacity they need in the secondary market would then be left with interruptible service, but it is unlikely that customers that require highly reliable service would find interruptible capacity to be an adequate substitute for firm service.</w:t>
      </w:r>
    </w:p>
    <w:p>
      <w:pPr>
        <w:pStyle w:val="BodyText"/>
        <w:rPr/>
      </w:pPr>
      <w:r>
        <w:rPr/>
        <w:t>The Commission’s "most promising options" decision, D.99-07-015, urged that parties try to develop a program that would permit customers that value capacity the most to get capacity, but the Comprehensive Settlement allocates capacity on nonprice terms.  As a result, customers that put a high value on the capacity will have to rely on the Comprehensive Settlement's manipulative and unfair capacity allocation scheme rather than value.</w:t>
      </w:r>
    </w:p>
    <w:p>
      <w:pPr>
        <w:pStyle w:val="BodyText"/>
        <w:rPr/>
      </w:pPr>
      <w:r>
        <w:rPr/>
        <w:t>A corollary of unbundling “backbone” capacity is that it results in the imposition of demand charges.  The imposition of demand charges conflicts with established Commission policy in favor of volumetric rates and the assignment of some throughput risk to the utility.  Likewise, the proposed straight fixed variable (“SFV”) rate design conflicts with consistent Commission opposition to SFV rates for interstate pipelines at the FERC.</w:t>
      </w:r>
    </w:p>
    <w:p>
      <w:pPr>
        <w:pStyle w:val="BodyText"/>
        <w:rPr/>
      </w:pPr>
      <w:r>
        <w:rPr/>
        <w:t>Demand charges shift risk from SoCalGas to ratepayers.  More critically from the standpoint of electric generators, demand charges double or treble unit costs for low load factor customers.  This would put generators in a price squeeze.  To the extent to which variable costs of gas-fired generation determine the marginal bids into the California Power Exchange, creating demand charges and reducing variable costs would reduce the marginal bids.  Ultimately, that would reduce electricity prices.  Simultaneously, actually experienced average unit operating costs would be doubled or trebled by demand charges, although these unit operating costs would be masked as sunk costs.  Thus, demand charges would squeeze electric generators between dropping electricity prices and rising actual average unit costs of generation, threatening the economic viability of marginal units.  Likewise, the Comprehensive Settlement would raise core gas costs by reducing the core’s flexibility to use transmission capacity.  Generally, the Comprehensive Settlement would work systematically to drive up costs for low-load factor customers.</w:t>
      </w:r>
    </w:p>
    <w:p>
      <w:pPr>
        <w:pStyle w:val="Heading1"/>
        <w:rPr>
          <w:b w:val="false"/>
        </w:rPr>
      </w:pPr>
      <w:r>
        <w:rPr>
          <w:rFonts w:eastAsia="Times New Roman Bold"/>
          <w:b w:val="false"/>
          <w:u w:val="none"/>
        </w:rPr>
        <w:t xml:space="preserve"> </w:t>
      </w:r>
      <w:r>
        <w:rPr>
          <w:b w:val="false"/>
        </w:rPr>
        <w:t>Storage</w:t>
      </w:r>
    </w:p>
    <w:p>
      <w:pPr>
        <w:pStyle w:val="BodyText"/>
        <w:rPr/>
      </w:pPr>
      <w:r>
        <w:rPr/>
        <w:t>The storage provisions in the Interim and Post</w:t>
        <w:noBreakHyphen/>
        <w:t>Interim Settlements reduce rates and risks for customers, whereas the Comprehensive Settlement would result in new risks of higher costs.  The Interim and Post</w:t>
        <w:noBreakHyphen/>
        <w:t>Interim settlements would maintain the 1999 SoCalGas BCAP core reservation, while the Comprehensive Settlement would reduce the reservation, potentially forcing the core to bid for high-priced transmission capacity on the secondary market or, alternatively, to buy higher priced gas supplies at the Comprehensive Settlement’s new downstream citygates.</w:t>
      </w:r>
    </w:p>
    <w:p>
      <w:pPr>
        <w:pStyle w:val="BodyText"/>
        <w:rPr/>
      </w:pPr>
      <w:r>
        <w:rPr/>
        <w:t>The Comprehensive Settlement increases the core’s share of Montebello costs from 85% to 95%.  Conversely, the Post</w:t>
        <w:noBreakHyphen/>
        <w:t>Interim Settlement removes Montebello costs from the rates of all customers.</w:t>
      </w:r>
    </w:p>
    <w:p>
      <w:pPr>
        <w:pStyle w:val="BodyText"/>
        <w:rPr/>
      </w:pPr>
      <w:r>
        <w:rPr/>
        <w:t>The Post</w:t>
        <w:noBreakHyphen/>
        <w:t>Interim Settlement provides core transport agents (“CTAs”) with a reasonable benefit by unbundling non</w:t>
        <w:noBreakHyphen/>
        <w:t>reliability storage costs for the CTAs.  The Comprehensive Settlement would unbundle the reliability portion as well, an imprudent step when so many other changes are being made that could affect the reliability of service on the SoCalGas system.</w:t>
      </w:r>
    </w:p>
    <w:p>
      <w:pPr>
        <w:pStyle w:val="BodyText"/>
        <w:rPr/>
      </w:pPr>
      <w:r>
        <w:rPr/>
        <w:t>The Interim Settlement creates a secondary storage market that would be facilitated by the creation of an EBB to facilitate trading.  The Comprehensive Settlement also creates a secondary market and an EBB, but jeopardizes the liquidity of the secondary market by imposing trading fees.</w:t>
      </w:r>
    </w:p>
    <w:p>
      <w:pPr>
        <w:pStyle w:val="BodyText"/>
        <w:rPr/>
      </w:pPr>
      <w:r>
        <w:rPr/>
        <w:t>Both the Post</w:t>
        <w:noBreakHyphen/>
        <w:t>Interim and the Comprehensive Settlement put SoCalGas at risk for recovering unbundled storage costs.  However the Post</w:t>
        <w:noBreakHyphen/>
        <w:t>Interim Settlement would maintain a price cap, albeit a fairly generous one.  The Comprehensive Settlement would eliminate all price caps on storage and expose customers to monopoly pricing.  Neither northern California storage, the secondary market, nor flowing supply provide meaningful competition with SoCalGas' storage.  The Comprehensive Settlement supporters present the Comprehensive Settlement’s "standard storage package” as though it provides protection for noncore customers, but the package is tailored for seasonal storage needs, not balancing needs.  Thus, it is no substitute for having a cap on unbundled storage prices.</w:t>
      </w:r>
    </w:p>
    <w:p>
      <w:pPr>
        <w:pStyle w:val="Heading1"/>
        <w:rPr>
          <w:b w:val="false"/>
        </w:rPr>
      </w:pPr>
      <w:r>
        <w:rPr>
          <w:rFonts w:eastAsia="Times New Roman Bold"/>
          <w:b w:val="false"/>
          <w:u w:val="none"/>
        </w:rPr>
        <w:t xml:space="preserve"> </w:t>
      </w:r>
      <w:r>
        <w:rPr>
          <w:b w:val="false"/>
        </w:rPr>
        <w:t>Balancing</w:t>
      </w:r>
    </w:p>
    <w:p>
      <w:pPr>
        <w:pStyle w:val="BodyText"/>
        <w:rPr/>
      </w:pPr>
      <w:r>
        <w:rPr/>
        <w:t>The Interim and Post</w:t>
        <w:noBreakHyphen/>
        <w:t>Interim Settlements create new markets and enhance competition in the interest of helping customers more efficiently meet balancing requirements, while the Comprehensive Settlement imposes new costs, risks, fees, and burdens on customers in the interest of creating opportunities for marketers and SoCalGas.</w:t>
      </w:r>
    </w:p>
    <w:p>
      <w:pPr>
        <w:pStyle w:val="BodyText"/>
        <w:rPr/>
      </w:pPr>
      <w:r>
        <w:rPr/>
        <w:t>The most flagrant example of the Comprehensive Settlement effort to create market opportunities for SoCalGas and marketers is the proposal to strip customers of the benefit of load diversity by ending system-wide balancing and requiring the core and noncore to balance separately.  Both the core and noncore benefit substantially from system-wide balancing and load diversity.  The Comprehensive Settlement’s requirement that the core and noncore balance separately would dramatically increase the frequency of OFOs.  The Commission should reject the proposal to balance the core and noncore separately.  Instead, the Commission should adopt the Interim Settlement proposal to establish parity between the core and noncore by subjecting both to the same even-handed balancing rules while retaining the benefits of load diversity for all customers.</w:t>
      </w:r>
    </w:p>
    <w:p>
      <w:pPr>
        <w:pStyle w:val="BodyText"/>
        <w:rPr/>
      </w:pPr>
      <w:r>
        <w:rPr/>
        <w:t>Load balancing injection capacity reservations were recently adopted in the 1999 SoCalGas BCAP and should be retained at least until the end of the current BCAP period.  Reducing the injection reservation would exacerbate the frequency of OFOs.  Likewise, self</w:t>
        <w:noBreakHyphen/>
        <w:t>balancing should be deferred until after the current BCAP period.  The elimination of “windowing” and the move to an OFO regime on the SoCalGas system, as would occur regardless of whether the Interim and Post</w:t>
        <w:noBreakHyphen/>
        <w:t>Interim Settlements or the Comprehensive Settlement were adopted, will be likely to create some instability and a possibility of decreased reliability, making this a bad time either to reduce SoCalGas’ load balancing capacity or to introduce a self-balancing program.</w:t>
      </w:r>
    </w:p>
    <w:p>
      <w:pPr>
        <w:pStyle w:val="BodyText"/>
        <w:rPr/>
      </w:pPr>
      <w:r>
        <w:rPr/>
        <w:t>Customers have been concerned that the current practice of splitting hub revenues between SoCalGas shareholders and ratepayers may give SoCalGas an incentive to manipulate its system to encourage customers to take hub services.  Rather than eliminate the flow of hub revenues to shareholders so as to eliminate the incentive, as urged by customers, the Comprehensive Settlement would go in the opposite direction and increase the flow of hub revenues to shareholders by having Gas Operations, for the first time, offer hub services with 100% of the revenue going to shareholders.</w:t>
      </w:r>
    </w:p>
    <w:p>
      <w:pPr>
        <w:pStyle w:val="BodyText"/>
        <w:rPr/>
      </w:pPr>
      <w:r>
        <w:rPr/>
        <w:t>While both the Comprehensive Settlement and the Interim Settlement would permit liberalized imbalance trading in the interest of improving the liquidity of the imbalance trading market, the Comprehensive Settlement would counter-productively compromise the liquidity of the imbalance market by imposing charges on trades involving the use of the liberalized rules.  Likewise, both the Interim and Post</w:t>
        <w:noBreakHyphen/>
        <w:t>Interim Settlements and the Comprehensive Settlement provide for the creation of a new intrastate gas market by permitting pooling on the SoCalGas system, but the Comprehensive Settlement reduces the liquidity of that new market by imposing more restrictive rules on pooling activities.</w:t>
      </w:r>
    </w:p>
    <w:p>
      <w:pPr>
        <w:pStyle w:val="BodyText"/>
        <w:rPr/>
      </w:pPr>
      <w:r>
        <w:rPr/>
        <w:t>Under the Interim Settlement, all imbalance penalty revenues would flow back to ratepayers, but the Comprehensive Settlement would permit SoCalGas to retain penalty revenues as well as revenues derived from the purchase or sale of imbalance gas as an offset to Comprehensive Settlement implementation costs.  Thus, the Comprehensive Settlement would create a perverse incentive for SoCalGas to have customers go out of balance and incur penalties.</w:t>
      </w:r>
    </w:p>
    <w:p>
      <w:pPr>
        <w:pStyle w:val="Heading1"/>
        <w:rPr>
          <w:b w:val="false"/>
        </w:rPr>
      </w:pPr>
      <w:r>
        <w:rPr>
          <w:rFonts w:eastAsia="Times New Roman Bold"/>
          <w:b w:val="false"/>
          <w:u w:val="none"/>
        </w:rPr>
        <w:t xml:space="preserve"> </w:t>
      </w:r>
      <w:r>
        <w:rPr>
          <w:b w:val="false"/>
        </w:rPr>
        <w:t>Curtailment</w:t>
      </w:r>
    </w:p>
    <w:p>
      <w:pPr>
        <w:pStyle w:val="BodyText"/>
        <w:rPr/>
      </w:pPr>
      <w:r>
        <w:rPr/>
        <w:t>The Service Interruption Credit was adopted in response to the curtailments of the 1980s.  It was designed to provide assurance to customers that SoCalGas would maintain and expand its system so as to assure the reliability of firm transmission service.  Even though nothing in the Comprehensive Settlement provides SoCalGas with an incentive to expand the system that would replace the incentive provided by the Service Interruption Credit, the Comprehensive Settlement would eliminate the credit to the detriment of customers who continue to need assurance of reliability.</w:t>
      </w:r>
    </w:p>
    <w:p>
      <w:pPr>
        <w:pStyle w:val="Heading1"/>
        <w:rPr>
          <w:b w:val="false"/>
        </w:rPr>
      </w:pPr>
      <w:r>
        <w:rPr>
          <w:rFonts w:eastAsia="Times New Roman Bold"/>
          <w:b w:val="false"/>
          <w:u w:val="none"/>
        </w:rPr>
        <w:t xml:space="preserve"> </w:t>
      </w:r>
      <w:r>
        <w:rPr>
          <w:b w:val="false"/>
        </w:rPr>
        <w:t>Wheeler Ridge Access Agreements</w:t>
      </w:r>
    </w:p>
    <w:p>
      <w:pPr>
        <w:pStyle w:val="BodyText"/>
        <w:rPr/>
      </w:pPr>
      <w:r>
        <w:rPr/>
        <w:t>The Commission should reject the Comprehensive Settlement’s collateral attempt to reverse the Commission’s recent decision in the 1999 SoCalGas BCAP to require that ratepayers get consideration in return for the rescission or suspension of Wheeler Ridge access agreements.  The parties who oppose the result in the 1999 BCAP should have filed timely applications for rehearing instead of launching a collateral attack on the decision in this case.</w:t>
      </w:r>
    </w:p>
    <w:p>
      <w:pPr>
        <w:pStyle w:val="Heading1"/>
        <w:rPr>
          <w:b w:val="false"/>
        </w:rPr>
      </w:pPr>
      <w:r>
        <w:rPr>
          <w:rFonts w:eastAsia="Times New Roman Bold"/>
          <w:b w:val="false"/>
          <w:u w:val="none"/>
        </w:rPr>
        <w:t xml:space="preserve"> </w:t>
      </w:r>
      <w:r>
        <w:rPr>
          <w:b w:val="false"/>
        </w:rPr>
        <w:t>CTA Interstate Pipeline Costs</w:t>
      </w:r>
    </w:p>
    <w:p>
      <w:pPr>
        <w:pStyle w:val="BodyText"/>
        <w:rPr/>
      </w:pPr>
      <w:r>
        <w:rPr/>
        <w:t>Both the Post</w:t>
        <w:noBreakHyphen/>
        <w:t>Interim Settlement and the Comprehensive Settlement unbundle interstate pipeline costs for CTAs.  However, the Comprehensive Settlement would result in a subsidy to the CTAs that is roughly twice the size of the subsidy offered by the Post</w:t>
        <w:noBreakHyphen/>
        <w:t>Interim Settlement.  Further, the Comprehensive Settlement would inequitably recover nearly all of the CTA subsidy from classes that receive little or no benefit from the CTA program.  The Post</w:t>
        <w:noBreakHyphen/>
        <w:t>Interim Settlement would target the cost of the Post</w:t>
        <w:noBreakHyphen/>
        <w:t>Interim Settlement’s smaller subsidy to the classes that derive the most benefit.</w:t>
      </w:r>
    </w:p>
    <w:p>
      <w:pPr>
        <w:pStyle w:val="Heading1"/>
        <w:rPr>
          <w:b w:val="false"/>
        </w:rPr>
      </w:pPr>
      <w:r>
        <w:rPr>
          <w:rFonts w:eastAsia="Times New Roman Bold"/>
          <w:b w:val="false"/>
          <w:u w:val="none"/>
        </w:rPr>
        <w:t xml:space="preserve"> </w:t>
      </w:r>
      <w:r>
        <w:rPr>
          <w:b w:val="false"/>
        </w:rPr>
        <w:t>Information Disclosure</w:t>
      </w:r>
    </w:p>
    <w:p>
      <w:pPr>
        <w:pStyle w:val="BodyText"/>
        <w:rPr/>
      </w:pPr>
      <w:r>
        <w:rPr/>
        <w:t>The Comprehensive Settlement fails to provide for the expanded disclosure of information about transactions that the Commission found to be a “most promising option” in D.99-07-015.  Instead, the Comprehensive Settlement would restrict information.  As a result, the provisions of the Comprehensive Settlement would violate section 489(a) of the California Public Utilities Code.  Also, the provisions of the Comprehensive Settlement that prevent parity with FERC rules regarding disclosure of details about market transactions conflict with the Commissions’ own rules.</w:t>
      </w:r>
    </w:p>
    <w:p>
      <w:pPr>
        <w:pStyle w:val="Heading1"/>
        <w:rPr>
          <w:b w:val="false"/>
        </w:rPr>
      </w:pPr>
      <w:r>
        <w:rPr>
          <w:rFonts w:eastAsia="Times New Roman Bold"/>
          <w:b w:val="false"/>
          <w:u w:val="none"/>
        </w:rPr>
        <w:t xml:space="preserve"> </w:t>
      </w:r>
      <w:r>
        <w:rPr>
          <w:b w:val="false"/>
        </w:rPr>
        <w:t>Implementation Costs</w:t>
      </w:r>
    </w:p>
    <w:p>
      <w:pPr>
        <w:pStyle w:val="BodyText"/>
        <w:rPr/>
      </w:pPr>
      <w:r>
        <w:rPr/>
        <w:t>The Comprehensive Settlements sets no limits on implementation costs, and the Comprehensive Settlement permits SoCalGas to retain pooling fees, imbalance fees, revenues from the sale or purchase of imbalance gas, and rights trading fees to offset the unlimited implementation costs.  Thus, the Comprehensive Settlement provides a perverse incentive for SoCalGas both to inflate implementation costs and to cause customers to incur pooling fees, imbalance fees, imbalance gas costs, and rights trading fees.  The Interim Settlement avoids this problem by putting a definite but reasonable cap on implementation costs, by flowing imbalance charges back to customers, and by avoiding secondary market trading fees.</w:t>
      </w:r>
    </w:p>
    <w:p>
      <w:pPr>
        <w:pStyle w:val="Heading1"/>
        <w:rPr>
          <w:b w:val="false"/>
        </w:rPr>
      </w:pPr>
      <w:r>
        <w:rPr>
          <w:rFonts w:eastAsia="Times New Roman Bold"/>
          <w:b w:val="false"/>
          <w:u w:val="none"/>
        </w:rPr>
        <w:t xml:space="preserve"> </w:t>
      </w:r>
      <w:r>
        <w:rPr>
          <w:b w:val="false"/>
        </w:rPr>
        <w:t>ITCS Costs</w:t>
      </w:r>
    </w:p>
    <w:p>
      <w:pPr>
        <w:pStyle w:val="BodyText"/>
        <w:rPr/>
      </w:pPr>
      <w:r>
        <w:rPr/>
        <w:t>Both the Interim and Post</w:t>
        <w:noBreakHyphen/>
        <w:t>Interim Settlements and the Comprehensive Settlement eliminate the core contribution to covering Interstate Transition Cost Surcharge (“ITCS”) costs, but the Comprehensive Settlement fails to provide SoCalGas with an incentive to reduce ITCS costs.  By contrast, the Post</w:t>
        <w:noBreakHyphen/>
        <w:t>Interim Settlement provides SoCalGas with an incentive by specifying that ITCS costs shall be shared 75/25 between ratepayers and shareholders.  The burden of this new risk on SoCalGas is offset by SoCalGas' new authority to sell excess pipeline capacity at uncapped prices.</w:t>
      </w:r>
    </w:p>
    <w:p>
      <w:pPr>
        <w:pStyle w:val="Heading1"/>
        <w:rPr>
          <w:b w:val="false"/>
        </w:rPr>
      </w:pPr>
      <w:r>
        <w:rPr>
          <w:rFonts w:eastAsia="Times New Roman Bold"/>
          <w:b w:val="false"/>
          <w:u w:val="none"/>
        </w:rPr>
        <w:t xml:space="preserve"> </w:t>
      </w:r>
      <w:r>
        <w:rPr>
          <w:b w:val="false"/>
        </w:rPr>
        <w:t>Scheduling</w:t>
      </w:r>
    </w:p>
    <w:p>
      <w:pPr>
        <w:pStyle w:val="BodyText"/>
        <w:rPr/>
      </w:pPr>
      <w:r>
        <w:rPr/>
        <w:t>The Interim and Post</w:t>
        <w:noBreakHyphen/>
        <w:t>Interim Settlements would implement customer</w:t>
        <w:noBreakHyphen/>
        <w:t>driven reforms more quickly than the Comprehensive Settlement.  The Comprehensive Settlement would delay those reforms while unrealistically rushing to implement the structural reforms that benefit marketers and SoCalGas to the detriment of customers.  The Post</w:t>
        <w:noBreakHyphen/>
        <w:t>Interim Settlement also provides for the timely commencement of future proceedings by requiring such proceedings to commence 18 months in advance of the projected effective date.  On the other hand, the Comprehensive Settlement would delay subsequent applications so that an unrealistically short 10 months would be allowed.</w:t>
      </w:r>
    </w:p>
    <w:p>
      <w:pPr>
        <w:pStyle w:val="Heading1"/>
        <w:rPr>
          <w:b w:val="false"/>
        </w:rPr>
      </w:pPr>
      <w:r>
        <w:rPr>
          <w:rFonts w:eastAsia="Times New Roman Bold"/>
          <w:b w:val="false"/>
          <w:u w:val="none"/>
        </w:rPr>
        <w:t xml:space="preserve"> </w:t>
      </w:r>
      <w:r>
        <w:rPr>
          <w:b w:val="false"/>
        </w:rPr>
        <w:t>Conclusion</w:t>
      </w:r>
    </w:p>
    <w:p>
      <w:pPr>
        <w:sectPr>
          <w:footerReference w:type="default" r:id="rId2"/>
          <w:footerReference w:type="first" r:id="rId3"/>
          <w:type w:val="nextPage"/>
          <w:pgSz w:w="12240" w:h="15840"/>
          <w:pgMar w:left="1440" w:right="1440" w:gutter="0" w:header="0" w:top="1440" w:footer="576" w:bottom="1440"/>
          <w:pgNumType w:fmt="lowerRoman"/>
          <w:formProt w:val="false"/>
          <w:titlePg/>
          <w:textDirection w:val="lrTb"/>
          <w:docGrid w:type="default" w:linePitch="360" w:charSpace="0"/>
        </w:sectPr>
        <w:pStyle w:val="BodyText"/>
        <w:rPr/>
      </w:pPr>
      <w:r>
        <w:rPr/>
        <w:t>The challenge faced by the Commission is to adopt measures that enhance competition rather than the narrow interest of the competitors.  The Interim and Post</w:t>
        <w:noBreakHyphen/>
        <w:t>Interim Settlements enhance competition for the benefit of customers, not the competitors.  The Comprehensive Settlement, on the other hand imposes costs and burdens on customers for the benefit of competitors at the expense of competition.  The Interim and Post</w:t>
        <w:noBreakHyphen/>
        <w:t>Interim Settlements should be approved in their entirety, and the Comprehensive Settlement should be rejected.</w:t>
      </w:r>
    </w:p>
    <w:p>
      <w:pPr>
        <w:pStyle w:val="Heading"/>
        <w:rPr/>
      </w:pPr>
      <w:r>
        <w:rPr/>
        <w:t>SUMMARY OF RECOMMENDATIONS</w:t>
      </w:r>
    </w:p>
    <w:p>
      <w:pPr>
        <w:pStyle w:val="BodyText"/>
        <w:spacing w:before="0" w:after="240"/>
        <w:rPr/>
      </w:pPr>
      <w:r>
        <w:rPr/>
        <w:t>The Southern California Generation Coalition recommends that the Commission approve the Interim and Post</w:t>
        <w:noBreakHyphen/>
        <w:t>Interim Settlements in their entirety and reject the Comprehensive Settlement.</w:t>
      </w:r>
    </w:p>
    <w:sectPr>
      <w:footerReference w:type="default" r:id="rId4"/>
      <w:footerReference w:type="first" r:id="rId5"/>
      <w:type w:val="nextPage"/>
      <w:pgSz w:w="12240" w:h="15840"/>
      <w:pgMar w:left="1440" w:right="1440" w:gutter="0" w:header="0" w:top="1440" w:footer="576" w:bottom="1440"/>
      <w:pgNumType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480" w:before="0" w:after="240"/>
      <w:rPr/>
    </w:pPr>
    <w:r>
      <w:rPr>
        <w:sz w:val="16"/>
      </w:rPr>
      <w:t>LA-1073281v1</w:t>
      <w:tab/>
    </w: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LA-1073281v1</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480" w:before="0" w:after="240"/>
      <w:rPr/>
    </w:pPr>
    <w:r>
      <w:rPr>
        <w:sz w:val="16"/>
      </w:rPr>
      <w:t>LA-1073281v1</w:t>
      <w:tab/>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t>LA-1073281v1</w:t>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1."/>
      <w:lvlJc w:val="center"/>
      <w:pPr>
        <w:tabs>
          <w:tab w:val="num" w:pos="0"/>
        </w:tabs>
        <w:ind w:start="0" w:firstLine="720"/>
      </w:pPr>
      <w:rPr>
        <w:sz w:val="24"/>
        <w:i w:val="false"/>
        <w:u w:val="none"/>
        <w:b/>
        <w:rFonts w:ascii="Times New Roman Bold" w:hAnsi="Times New Roman Bold" w:cs="Times New Roman Bold"/>
      </w:rPr>
    </w:lvl>
    <w:lvl w:ilvl="1">
      <w:start w:val="1"/>
      <w:pStyle w:val="Heading2"/>
      <w:numFmt w:val="upperLetter"/>
      <w:lvlText w:val="%2."/>
      <w:lvlJc w:val="start"/>
      <w:pPr>
        <w:tabs>
          <w:tab w:val="num" w:pos="1800"/>
        </w:tabs>
        <w:ind w:start="0" w:firstLine="1440"/>
      </w:pPr>
      <w:rPr>
        <w:sz w:val="24"/>
        <w:i w:val="false"/>
        <w:u w:val="none"/>
        <w:b/>
        <w:rFonts w:ascii="Times New Roman Bold" w:hAnsi="Times New Roman Bold" w:cs="Times New Roman Bold"/>
      </w:rPr>
    </w:lvl>
    <w:lvl w:ilvl="2">
      <w:start w:val="1"/>
      <w:pStyle w:val="Heading3"/>
      <w:numFmt w:val="decimal"/>
      <w:lvlText w:val="%3."/>
      <w:lvlJc w:val="start"/>
      <w:pPr>
        <w:tabs>
          <w:tab w:val="num" w:pos="1080"/>
        </w:tabs>
        <w:ind w:start="0" w:firstLine="720"/>
      </w:pPr>
      <w:rPr>
        <w:i w:val="false"/>
        <w:b/>
      </w:rPr>
    </w:lvl>
    <w:lvl w:ilvl="3">
      <w:start w:val="1"/>
      <w:pStyle w:val="Heading4"/>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auto"/>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ind w:hanging="0" w:start="0" w:end="0"/>
      <w:jc w:val="center"/>
      <w:outlineLvl w:val="0"/>
    </w:pPr>
    <w:rPr>
      <w:rFonts w:ascii="Times New Roman Bold" w:hAnsi="Times New Roman Bold" w:cs="Times New Roman Bold"/>
      <w:b/>
      <w:u w:val="single"/>
    </w:rPr>
  </w:style>
  <w:style w:type="paragraph" w:styleId="Heading2">
    <w:name w:val="heading 2"/>
    <w:basedOn w:val="Normal"/>
    <w:next w:val="Heading3"/>
    <w:qFormat/>
    <w:pPr>
      <w:keepNext w:val="true"/>
      <w:keepLines/>
      <w:numPr>
        <w:ilvl w:val="1"/>
        <w:numId w:val="1"/>
      </w:numPr>
      <w:spacing w:before="0" w:after="480"/>
      <w:outlineLvl w:val="1"/>
    </w:pPr>
    <w:rPr>
      <w:rFonts w:ascii="Times New Roman Bold" w:hAnsi="Times New Roman Bold" w:cs="Times New Roman Bold"/>
      <w:b/>
    </w:rPr>
  </w:style>
  <w:style w:type="paragraph" w:styleId="Heading3">
    <w:name w:val="heading 3"/>
    <w:basedOn w:val="ListBullet31"/>
    <w:next w:val="BodyText"/>
    <w:qFormat/>
    <w:pPr>
      <w:keepNext w:val="true"/>
      <w:numPr>
        <w:ilvl w:val="2"/>
        <w:numId w:val="1"/>
      </w:numPr>
      <w:spacing w:before="0" w:after="480"/>
      <w:outlineLvl w:val="2"/>
    </w:pPr>
    <w:rPr>
      <w:rFonts w:ascii="Times New Roman Bold" w:hAnsi="Times New Roman Bold" w:cs="Times New Roman Bold"/>
      <w:b/>
    </w:rPr>
  </w:style>
  <w:style w:type="paragraph" w:styleId="Heading4">
    <w:name w:val="heading 4"/>
    <w:basedOn w:val="Normal"/>
    <w:next w:val="Heading5"/>
    <w:qFormat/>
    <w:pPr>
      <w:keepNext w:val="true"/>
      <w:numPr>
        <w:ilvl w:val="3"/>
        <w:numId w:val="1"/>
      </w:numPr>
      <w:spacing w:before="0" w:after="480"/>
      <w:outlineLvl w:val="3"/>
    </w:pPr>
    <w:rPr>
      <w:rFonts w:ascii="Times New Roman Bold" w:hAnsi="Times New Roman Bold" w:cs="Times New Roman Bold"/>
      <w:b/>
    </w:rPr>
  </w:style>
  <w:style w:type="paragraph" w:styleId="Heading5">
    <w:name w:val="heading 5"/>
    <w:basedOn w:val="Normal"/>
    <w:next w:val="Heading6"/>
    <w:qFormat/>
    <w:pPr>
      <w:spacing w:lineRule="auto" w:line="480" w:before="0" w:after="240"/>
      <w:outlineLvl w:val="4"/>
    </w:pPr>
    <w:rPr/>
  </w:style>
  <w:style w:type="paragraph" w:styleId="Heading6">
    <w:name w:val="heading 6"/>
    <w:basedOn w:val="Normal"/>
    <w:next w:val="Heading7"/>
    <w:qFormat/>
    <w:pPr>
      <w:spacing w:lineRule="auto" w:line="480" w:before="0" w:after="240"/>
      <w:outlineLvl w:val="5"/>
    </w:pPr>
    <w:rPr/>
  </w:style>
  <w:style w:type="paragraph" w:styleId="Heading7">
    <w:name w:val="heading 7"/>
    <w:basedOn w:val="Normal"/>
    <w:next w:val="Heading8"/>
    <w:qFormat/>
    <w:pPr>
      <w:spacing w:lineRule="auto" w:line="480" w:before="0" w:after="240"/>
      <w:outlineLvl w:val="6"/>
    </w:pPr>
    <w:rPr/>
  </w:style>
  <w:style w:type="paragraph" w:styleId="Heading8">
    <w:name w:val="heading 8"/>
    <w:basedOn w:val="Normal"/>
    <w:next w:val="Heading9"/>
    <w:qFormat/>
    <w:pPr>
      <w:spacing w:lineRule="auto" w:line="480" w:before="0" w:after="240"/>
      <w:outlineLvl w:val="7"/>
    </w:pPr>
    <w:rPr/>
  </w:style>
  <w:style w:type="paragraph" w:styleId="Heading9">
    <w:name w:val="heading 9"/>
    <w:basedOn w:val="Normal"/>
    <w:next w:val="BodyText"/>
    <w:qFormat/>
    <w:pPr>
      <w:spacing w:lineRule="auto" w:line="480"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Times New Roman Bold" w:hAnsi="Times New Roman Bold" w:cs="Times New Roman Bold"/>
      <w:b/>
      <w:i w:val="false"/>
      <w:sz w:val="24"/>
      <w:u w:val="none"/>
    </w:rPr>
  </w:style>
  <w:style w:type="character" w:styleId="WW8Num11z2">
    <w:name w:val="WW8Num11z2"/>
    <w:qFormat/>
    <w:rPr>
      <w:b/>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4"/>
    </w:rPr>
  </w:style>
  <w:style w:type="character" w:styleId="Strong">
    <w:name w:val="Strong"/>
    <w:basedOn w:val="DefaultParagraphFont"/>
    <w:qFormat/>
    <w:rPr>
      <w:b/>
    </w:rPr>
  </w:style>
  <w:style w:type="paragraph" w:styleId="Heading">
    <w:name w:val="Heading"/>
    <w:basedOn w:val="Normal"/>
    <w:next w:val="BodyText"/>
    <w:qFormat/>
    <w:pPr>
      <w:keepNext w:val="true"/>
      <w:jc w:val="center"/>
      <w:outlineLvl w:val="0"/>
    </w:pPr>
    <w:rPr>
      <w:rFonts w:ascii="Times New Roman Bold" w:hAnsi="Times New Roman Bold" w:cs="Times New Roman Bold"/>
      <w:b/>
    </w:rPr>
  </w:style>
  <w:style w:type="paragraph" w:styleId="BodyText">
    <w:name w:val="Body Text"/>
    <w:basedOn w:val="Normal"/>
    <w:pPr>
      <w:spacing w:lineRule="auto" w:line="480"/>
      <w:ind w:firstLine="720" w:start="0" w:end="0"/>
    </w:pPr>
    <w:rPr/>
  </w:style>
  <w:style w:type="paragraph" w:styleId="List">
    <w:name w:val="List"/>
    <w:basedOn w:val="Normal"/>
    <w:pPr>
      <w:spacing w:lineRule="auto" w:line="480" w:before="0" w:after="240"/>
      <w:ind w:hanging="360" w:start="360" w:end="0"/>
    </w:pPr>
    <w:rPr/>
  </w:style>
  <w:style w:type="paragraph" w:styleId="Caption">
    <w:name w:val="caption"/>
    <w:basedOn w:val="Normal"/>
    <w:next w:val="Normal"/>
    <w:qFormat/>
    <w:pPr>
      <w:spacing w:lineRule="auto" w:line="480" w:before="120" w:after="120"/>
    </w:pPr>
    <w:rPr>
      <w:b/>
    </w:rPr>
  </w:style>
  <w:style w:type="paragraph" w:styleId="Index">
    <w:name w:val="Index"/>
    <w:basedOn w:val="Normal"/>
    <w:qFormat/>
    <w:pPr>
      <w:suppressLineNumbers/>
    </w:pPr>
    <w:rPr>
      <w:rFonts w:cs="NotoSans NF"/>
    </w:rPr>
  </w:style>
  <w:style w:type="paragraph" w:styleId="ListBullet31">
    <w:name w:val="List Bullet 31"/>
    <w:basedOn w:val="Normal"/>
    <w:qFormat/>
    <w:pPr>
      <w:numPr>
        <w:ilvl w:val="0"/>
        <w:numId w:val="8"/>
      </w:numPr>
      <w:tabs>
        <w:tab w:val="clear" w:pos="720"/>
      </w:tabs>
      <w:spacing w:lineRule="auto" w:line="480" w:before="0" w:after="24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spacing w:lineRule="auto" w:line="360" w:before="0" w:after="240"/>
    </w:pPr>
    <w:rPr/>
  </w:style>
  <w:style w:type="paragraph" w:styleId="BodyTextFirstIndent">
    <w:name w:val="Body Text First Indent"/>
    <w:basedOn w:val="Normal"/>
    <w:qFormat/>
    <w:pPr>
      <w:spacing w:lineRule="auto" w:line="480"/>
      <w:ind w:firstLine="1440" w:start="0" w:end="0"/>
    </w:pPr>
    <w:rPr/>
  </w:style>
  <w:style w:type="paragraph" w:styleId="BodyTextIndent">
    <w:name w:val="Body Text Indent"/>
    <w:basedOn w:val="Normal"/>
    <w:pPr>
      <w:spacing w:lineRule="auto" w:line="480" w:before="0" w:after="120"/>
      <w:ind w:hanging="0" w:start="360" w:end="0"/>
    </w:pPr>
    <w:rPr/>
  </w:style>
  <w:style w:type="paragraph" w:styleId="BodyTextFirstIndent2">
    <w:name w:val="Body Text First Indent 2"/>
    <w:basedOn w:val="Normal"/>
    <w:qFormat/>
    <w:pPr>
      <w:spacing w:lineRule="auto" w:line="480" w:before="0" w:after="240"/>
      <w:ind w:firstLine="1440" w:start="0" w:end="0"/>
    </w:pPr>
    <w:rPr/>
  </w:style>
  <w:style w:type="paragraph" w:styleId="BodyTextIndent2">
    <w:name w:val="Body Text Indent 2"/>
    <w:basedOn w:val="Normal"/>
    <w:qFormat/>
    <w:pPr>
      <w:spacing w:lineRule="auto" w:line="480" w:before="0" w:after="240"/>
      <w:ind w:firstLine="720" w:start="1440" w:end="1440"/>
    </w:pPr>
    <w:rPr/>
  </w:style>
  <w:style w:type="paragraph" w:styleId="BodyTextIndent3">
    <w:name w:val="Body Text Indent 3"/>
    <w:basedOn w:val="Normal"/>
    <w:qFormat/>
    <w:pPr>
      <w:spacing w:before="0" w:after="240"/>
      <w:ind w:hanging="0" w:start="1440" w:end="1440"/>
    </w:pPr>
    <w:rPr/>
  </w:style>
  <w:style w:type="paragraph" w:styleId="Closing">
    <w:name w:val="Closing"/>
    <w:basedOn w:val="Normal"/>
    <w:qFormat/>
    <w:pPr>
      <w:spacing w:lineRule="auto" w:line="480" w:before="0" w:after="240"/>
      <w:ind w:hanging="0" w:start="5040" w:end="0"/>
    </w:pPr>
    <w:rPr/>
  </w:style>
  <w:style w:type="paragraph" w:styleId="EndnoteText">
    <w:name w:val="endnote text"/>
    <w:basedOn w:val="Normal"/>
    <w:pPr>
      <w:spacing w:lineRule="auto" w:line="480" w:before="0" w:after="240"/>
    </w:pPr>
    <w:rPr>
      <w:sz w:val="20"/>
    </w:rPr>
  </w:style>
  <w:style w:type="paragraph" w:styleId="EnvelopeAddress">
    <w:name w:val="envelope address"/>
    <w:basedOn w:val="Normal"/>
    <w:pPr>
      <w:spacing w:lineRule="auto" w:line="480" w:before="0" w:after="240"/>
      <w:ind w:hanging="0" w:start="2880" w:end="0"/>
    </w:pPr>
    <w:rPr/>
  </w:style>
  <w:style w:type="paragraph" w:styleId="EnvelopeReturn">
    <w:name w:val="envelope return"/>
    <w:basedOn w:val="Normal"/>
    <w:pPr>
      <w:spacing w:lineRule="auto" w:line="480"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uto" w:line="480" w:before="0" w:after="240"/>
    </w:pPr>
    <w:rPr/>
  </w:style>
  <w:style w:type="paragraph" w:styleId="FootnoteText">
    <w:name w:val="footnote text"/>
    <w:basedOn w:val="Normal"/>
    <w:pPr>
      <w:tabs>
        <w:tab w:val="clear" w:pos="720"/>
        <w:tab w:val="left" w:pos="360" w:leader="none"/>
      </w:tabs>
      <w:spacing w:before="0" w:after="240"/>
      <w:ind w:hanging="360" w:start="360" w:end="0"/>
    </w:pPr>
    <w:rPr>
      <w:sz w:val="20"/>
    </w:rPr>
  </w:style>
  <w:style w:type="paragraph" w:styleId="Header">
    <w:name w:val="header"/>
    <w:basedOn w:val="Normal"/>
    <w:pPr>
      <w:tabs>
        <w:tab w:val="clear" w:pos="720"/>
        <w:tab w:val="center" w:pos="4680" w:leader="none"/>
        <w:tab w:val="right" w:pos="9360" w:leader="none"/>
      </w:tabs>
      <w:spacing w:lineRule="auto" w:line="480" w:before="0" w:after="240"/>
    </w:pPr>
    <w:rPr/>
  </w:style>
  <w:style w:type="paragraph" w:styleId="Index1">
    <w:name w:val="index 1"/>
    <w:basedOn w:val="Normal"/>
    <w:next w:val="Normal"/>
    <w:pPr>
      <w:spacing w:lineRule="auto" w:line="480" w:before="0" w:after="240"/>
      <w:ind w:hanging="360" w:start="360" w:end="0"/>
    </w:pPr>
    <w:rPr/>
  </w:style>
  <w:style w:type="paragraph" w:styleId="IndexHeading">
    <w:name w:val="index heading"/>
    <w:basedOn w:val="Normal"/>
    <w:next w:val="Index1"/>
    <w:pPr>
      <w:spacing w:lineRule="auto" w:line="480" w:before="0" w:after="240"/>
    </w:pPr>
    <w:rPr>
      <w:b/>
    </w:rPr>
  </w:style>
  <w:style w:type="paragraph" w:styleId="ListBullet">
    <w:name w:val="List Bullet"/>
    <w:basedOn w:val="Normal"/>
    <w:qFormat/>
    <w:pPr>
      <w:numPr>
        <w:ilvl w:val="0"/>
        <w:numId w:val="11"/>
      </w:numPr>
      <w:tabs>
        <w:tab w:val="clear" w:pos="720"/>
      </w:tabs>
      <w:spacing w:lineRule="auto" w:line="480" w:before="0" w:after="240"/>
    </w:pPr>
    <w:rPr/>
  </w:style>
  <w:style w:type="paragraph" w:styleId="ListBullet21">
    <w:name w:val="List Bullet 21"/>
    <w:basedOn w:val="Normal"/>
    <w:qFormat/>
    <w:pPr>
      <w:numPr>
        <w:ilvl w:val="0"/>
        <w:numId w:val="9"/>
      </w:numPr>
      <w:tabs>
        <w:tab w:val="clear" w:pos="720"/>
      </w:tabs>
    </w:pPr>
    <w:rPr/>
  </w:style>
  <w:style w:type="paragraph" w:styleId="PlainText">
    <w:name w:val="Plain Text"/>
    <w:basedOn w:val="Normal"/>
    <w:qFormat/>
    <w:pPr/>
    <w:rPr/>
  </w:style>
  <w:style w:type="paragraph" w:styleId="Signature">
    <w:name w:val="Signature"/>
    <w:basedOn w:val="Normal"/>
    <w:pPr>
      <w:tabs>
        <w:tab w:val="clear" w:pos="720"/>
        <w:tab w:val="right" w:pos="9360" w:leader="underscore"/>
      </w:tabs>
      <w:spacing w:lineRule="auto" w:line="240" w:before="0" w:after="0"/>
      <w:ind w:hanging="0" w:start="4680" w:end="0"/>
    </w:pPr>
    <w:rPr/>
  </w:style>
  <w:style w:type="paragraph" w:styleId="Subtitle">
    <w:name w:val="Subtitle"/>
    <w:basedOn w:val="Normal"/>
    <w:next w:val="BodyText"/>
    <w:qFormat/>
    <w:pPr>
      <w:spacing w:before="600" w:after="480"/>
      <w:jc w:val="center"/>
      <w:outlineLvl w:val="1"/>
    </w:pPr>
    <w:rPr>
      <w:rFonts w:ascii="Times New Roman Bold" w:hAnsi="Times New Roman Bold" w:cs="Times New Roman Bold"/>
      <w:b/>
    </w:rPr>
  </w:style>
  <w:style w:type="paragraph" w:styleId="TableofAuthorities">
    <w:name w:val="Table of Authorities"/>
    <w:basedOn w:val="Normal"/>
    <w:next w:val="Normal"/>
    <w:qFormat/>
    <w:pPr>
      <w:ind w:hanging="240" w:start="240" w:end="0"/>
    </w:pPr>
    <w:rPr/>
  </w:style>
  <w:style w:type="paragraph" w:styleId="BodyTextFirstIndent3">
    <w:name w:val="Body Text First Indent 3"/>
    <w:basedOn w:val="Normal"/>
    <w:qFormat/>
    <w:pPr>
      <w:spacing w:lineRule="auto" w:line="360" w:before="0" w:after="240"/>
      <w:ind w:firstLine="1440" w:start="0" w:end="0"/>
    </w:pPr>
    <w:rPr/>
  </w:style>
  <w:style w:type="paragraph" w:styleId="BodyTextNoIndent">
    <w:name w:val="Body Text No Indent"/>
    <w:basedOn w:val="BodyText"/>
    <w:qFormat/>
    <w:pPr>
      <w:ind w:hanging="0" w:start="0" w:end="0"/>
    </w:pPr>
    <w:rPr/>
  </w:style>
  <w:style w:type="paragraph" w:styleId="Quote">
    <w:name w:val="Quote"/>
    <w:basedOn w:val="Normal"/>
    <w:next w:val="BodyText"/>
    <w:qFormat/>
    <w:pPr>
      <w:spacing w:lineRule="auto" w:line="240"/>
      <w:ind w:hanging="0" w:start="1440" w:end="144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lineRule="auto" w:line="480" w:before="0" w:after="120"/>
      <w:ind w:hanging="0" w:start="1800" w:end="0"/>
    </w:pPr>
    <w:rPr/>
  </w:style>
  <w:style w:type="paragraph" w:styleId="CommentText">
    <w:name w:val="Comment Text"/>
    <w:basedOn w:val="Normal"/>
    <w:qFormat/>
    <w:pPr>
      <w:spacing w:lineRule="auto" w:line="480" w:before="0" w:after="240"/>
    </w:pPr>
    <w:rPr>
      <w:sz w:val="20"/>
    </w:rPr>
  </w:style>
  <w:style w:type="paragraph" w:styleId="Date">
    <w:name w:val="Date"/>
    <w:basedOn w:val="Normal"/>
    <w:next w:val="Normal"/>
    <w:qFormat/>
    <w:pPr>
      <w:spacing w:lineRule="auto" w:line="480" w:before="0" w:after="240"/>
    </w:pPr>
    <w:rPr/>
  </w:style>
  <w:style w:type="paragraph" w:styleId="DocumentMap">
    <w:name w:val="Document Map"/>
    <w:basedOn w:val="Normal"/>
    <w:qFormat/>
    <w:pPr>
      <w:shd w:fill="000080" w:val="clear"/>
      <w:spacing w:lineRule="auto" w:line="480" w:before="0" w:after="240"/>
    </w:pPr>
    <w:rPr>
      <w:rFonts w:ascii="Tahoma" w:hAnsi="Tahoma" w:cs="Tahoma"/>
    </w:rPr>
  </w:style>
  <w:style w:type="paragraph" w:styleId="Index2">
    <w:name w:val="index 2"/>
    <w:basedOn w:val="Normal"/>
    <w:next w:val="Normal"/>
    <w:pPr>
      <w:spacing w:lineRule="auto" w:line="480" w:before="0" w:after="240"/>
      <w:ind w:hanging="240" w:start="480" w:end="0"/>
    </w:pPr>
    <w:rPr/>
  </w:style>
  <w:style w:type="paragraph" w:styleId="Index3">
    <w:name w:val="index 3"/>
    <w:basedOn w:val="Normal"/>
    <w:next w:val="Normal"/>
    <w:pPr>
      <w:spacing w:lineRule="auto" w:line="480" w:before="0" w:after="240"/>
      <w:ind w:hanging="240" w:start="720" w:end="0"/>
    </w:pPr>
    <w:rPr/>
  </w:style>
  <w:style w:type="paragraph" w:styleId="Index4">
    <w:name w:val="Index 4"/>
    <w:basedOn w:val="Normal"/>
    <w:next w:val="Normal"/>
    <w:qFormat/>
    <w:pPr>
      <w:spacing w:lineRule="auto" w:line="480" w:before="0" w:after="240"/>
      <w:ind w:hanging="240" w:start="960" w:end="0"/>
    </w:pPr>
    <w:rPr/>
  </w:style>
  <w:style w:type="paragraph" w:styleId="Index5">
    <w:name w:val="Index 5"/>
    <w:basedOn w:val="Normal"/>
    <w:next w:val="Normal"/>
    <w:qFormat/>
    <w:pPr>
      <w:spacing w:lineRule="auto" w:line="480" w:before="0" w:after="240"/>
      <w:ind w:hanging="240" w:start="1200" w:end="0"/>
    </w:pPr>
    <w:rPr/>
  </w:style>
  <w:style w:type="paragraph" w:styleId="Index6">
    <w:name w:val="Index 6"/>
    <w:basedOn w:val="Normal"/>
    <w:next w:val="Normal"/>
    <w:qFormat/>
    <w:pPr>
      <w:spacing w:lineRule="auto" w:line="480" w:before="0" w:after="240"/>
      <w:ind w:hanging="240" w:start="1440" w:end="0"/>
    </w:pPr>
    <w:rPr/>
  </w:style>
  <w:style w:type="paragraph" w:styleId="Index7">
    <w:name w:val="Index 7"/>
    <w:basedOn w:val="Normal"/>
    <w:next w:val="Normal"/>
    <w:qFormat/>
    <w:pPr>
      <w:spacing w:lineRule="auto" w:line="480" w:before="0" w:after="240"/>
      <w:ind w:hanging="240" w:start="1680" w:end="0"/>
    </w:pPr>
    <w:rPr/>
  </w:style>
  <w:style w:type="paragraph" w:styleId="Index8">
    <w:name w:val="Index 8"/>
    <w:basedOn w:val="Normal"/>
    <w:next w:val="Normal"/>
    <w:qFormat/>
    <w:pPr>
      <w:spacing w:lineRule="auto" w:line="480" w:before="0" w:after="240"/>
      <w:ind w:hanging="240" w:start="1920" w:end="0"/>
    </w:pPr>
    <w:rPr/>
  </w:style>
  <w:style w:type="paragraph" w:styleId="Index9">
    <w:name w:val="Index 9"/>
    <w:basedOn w:val="Normal"/>
    <w:next w:val="Normal"/>
    <w:qFormat/>
    <w:pPr>
      <w:spacing w:lineRule="auto" w:line="480" w:before="0" w:after="240"/>
      <w:ind w:hanging="240" w:start="2160" w:end="0"/>
    </w:pPr>
    <w:rPr/>
  </w:style>
  <w:style w:type="paragraph" w:styleId="ListBullet2">
    <w:name w:val="List Bullet 2"/>
    <w:basedOn w:val="Normal"/>
    <w:pPr>
      <w:spacing w:lineRule="auto" w:line="480" w:before="0" w:after="240"/>
      <w:ind w:hanging="360" w:start="720" w:end="0"/>
    </w:pPr>
    <w:rPr/>
  </w:style>
  <w:style w:type="paragraph" w:styleId="ListBullet3">
    <w:name w:val="List Bullet 3"/>
    <w:basedOn w:val="Normal"/>
    <w:pPr>
      <w:spacing w:lineRule="auto" w:line="480" w:before="0" w:after="240"/>
      <w:ind w:hanging="360" w:start="1080" w:end="0"/>
    </w:pPr>
    <w:rPr/>
  </w:style>
  <w:style w:type="paragraph" w:styleId="ListBullet4">
    <w:name w:val="List Bullet 4"/>
    <w:basedOn w:val="Normal"/>
    <w:pPr>
      <w:spacing w:lineRule="auto" w:line="480" w:before="0" w:after="240"/>
      <w:ind w:hanging="360" w:start="1440" w:end="0"/>
    </w:pPr>
    <w:rPr/>
  </w:style>
  <w:style w:type="paragraph" w:styleId="ListBullet5">
    <w:name w:val="List Bullet 5"/>
    <w:basedOn w:val="Normal"/>
    <w:pPr>
      <w:spacing w:lineRule="auto" w:line="480" w:before="0" w:after="240"/>
      <w:ind w:hanging="360" w:start="1800" w:end="0"/>
    </w:pPr>
    <w:rPr/>
  </w:style>
  <w:style w:type="paragraph" w:styleId="ListBullet41">
    <w:name w:val="List Bullet 41"/>
    <w:basedOn w:val="Normal"/>
    <w:qFormat/>
    <w:pPr>
      <w:numPr>
        <w:ilvl w:val="0"/>
        <w:numId w:val="7"/>
      </w:numPr>
      <w:tabs>
        <w:tab w:val="clear" w:pos="720"/>
      </w:tabs>
      <w:spacing w:lineRule="auto" w:line="480" w:before="0" w:after="240"/>
    </w:pPr>
    <w:rPr/>
  </w:style>
  <w:style w:type="paragraph" w:styleId="ListBullet51">
    <w:name w:val="List Bullet 51"/>
    <w:basedOn w:val="Normal"/>
    <w:qFormat/>
    <w:pPr>
      <w:numPr>
        <w:ilvl w:val="0"/>
        <w:numId w:val="6"/>
      </w:numPr>
      <w:tabs>
        <w:tab w:val="clear" w:pos="720"/>
      </w:tabs>
      <w:spacing w:lineRule="auto" w:line="480" w:before="0" w:after="240"/>
    </w:pPr>
    <w:rPr/>
  </w:style>
  <w:style w:type="paragraph" w:styleId="ListContinue">
    <w:name w:val="List Continue"/>
    <w:basedOn w:val="Normal"/>
    <w:qFormat/>
    <w:pPr>
      <w:spacing w:lineRule="auto" w:line="480" w:before="0" w:after="120"/>
      <w:ind w:hanging="0" w:start="360" w:end="0"/>
    </w:pPr>
    <w:rPr/>
  </w:style>
  <w:style w:type="paragraph" w:styleId="ListContinue2">
    <w:name w:val="List Continue 2"/>
    <w:basedOn w:val="Normal"/>
    <w:qFormat/>
    <w:pPr>
      <w:spacing w:lineRule="auto" w:line="480" w:before="0" w:after="120"/>
      <w:ind w:hanging="0" w:start="720" w:end="0"/>
    </w:pPr>
    <w:rPr/>
  </w:style>
  <w:style w:type="paragraph" w:styleId="ListContinue3">
    <w:name w:val="List Continue 3"/>
    <w:basedOn w:val="Normal"/>
    <w:qFormat/>
    <w:pPr>
      <w:spacing w:lineRule="auto" w:line="480" w:before="0" w:after="120"/>
      <w:ind w:hanging="0" w:start="1080" w:end="0"/>
    </w:pPr>
    <w:rPr/>
  </w:style>
  <w:style w:type="paragraph" w:styleId="ListNumber">
    <w:name w:val="List Number"/>
    <w:basedOn w:val="Normal"/>
    <w:qFormat/>
    <w:pPr>
      <w:numPr>
        <w:ilvl w:val="0"/>
        <w:numId w:val="10"/>
      </w:numPr>
      <w:tabs>
        <w:tab w:val="clear" w:pos="720"/>
      </w:tabs>
      <w:spacing w:lineRule="auto" w:line="480" w:before="0" w:after="240"/>
    </w:pPr>
    <w:rPr/>
  </w:style>
  <w:style w:type="paragraph" w:styleId="ListNumber2">
    <w:name w:val="List Number 2"/>
    <w:basedOn w:val="Normal"/>
    <w:qFormat/>
    <w:pPr>
      <w:numPr>
        <w:ilvl w:val="0"/>
        <w:numId w:val="5"/>
      </w:numPr>
      <w:tabs>
        <w:tab w:val="clear" w:pos="720"/>
      </w:tabs>
      <w:spacing w:lineRule="auto" w:line="480" w:before="0" w:after="240"/>
    </w:pPr>
    <w:rPr/>
  </w:style>
  <w:style w:type="paragraph" w:styleId="ListNumber3">
    <w:name w:val="List Number 3"/>
    <w:basedOn w:val="Normal"/>
    <w:qFormat/>
    <w:pPr>
      <w:numPr>
        <w:ilvl w:val="0"/>
        <w:numId w:val="4"/>
      </w:numPr>
      <w:tabs>
        <w:tab w:val="clear" w:pos="720"/>
      </w:tabs>
      <w:spacing w:lineRule="auto" w:line="480" w:before="0" w:after="24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spacing w:lineRule="auto" w:line="480" w:before="0" w:after="240"/>
      <w:ind w:hanging="1080" w:start="1080" w:end="0"/>
    </w:pPr>
    <w:rPr>
      <w:rFonts w:ascii="Arial" w:hAnsi="Arial" w:cs="Arial"/>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TOC2">
    <w:name w:val="toc 2"/>
    <w:basedOn w:val="Normal"/>
    <w:next w:val="BodyText"/>
    <w:pPr>
      <w:tabs>
        <w:tab w:val="left" w:pos="720" w:leader="none"/>
        <w:tab w:val="left" w:pos="1440" w:leader="none"/>
        <w:tab w:val="right" w:pos="9350" w:leader="dot"/>
      </w:tabs>
      <w:spacing w:lineRule="auto" w:line="240"/>
      <w:ind w:hanging="720" w:start="1440" w:end="720"/>
    </w:pPr>
    <w:rPr>
      <w:lang w:val="en-CA"/>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TOC1">
    <w:name w:val="toc 1"/>
    <w:basedOn w:val="Normal"/>
    <w:next w:val="BodyText"/>
    <w:pPr>
      <w:tabs>
        <w:tab w:val="left" w:pos="720" w:leader="none"/>
        <w:tab w:val="left" w:pos="1440" w:leader="none"/>
        <w:tab w:val="right" w:pos="9350" w:leader="dot"/>
      </w:tabs>
      <w:spacing w:lineRule="auto" w:line="240"/>
      <w:ind w:hanging="720" w:start="720" w:end="720"/>
    </w:pPr>
    <w:rPr>
      <w:color w:val="000000"/>
      <w:lang w:val="en-CA"/>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2880" w:end="0"/>
    </w:pPr>
    <w:rPr/>
  </w:style>
  <w:style w:type="paragraph" w:styleId="TOC4">
    <w:name w:val="toc 4"/>
    <w:basedOn w:val="Normal"/>
    <w:next w:val="Normal"/>
    <w:pPr>
      <w:tabs>
        <w:tab w:val="clear" w:pos="720"/>
        <w:tab w:val="left" w:pos="1440" w:leader="none"/>
        <w:tab w:val="right" w:pos="9350" w:leader="dot"/>
      </w:tabs>
      <w:spacing w:lineRule="auto" w:line="240"/>
      <w:ind w:hanging="720" w:start="2880" w:end="720"/>
    </w:pPr>
    <w:rPr>
      <w:color w:val="000000"/>
      <w:lang w:val="en-CA"/>
    </w:rPr>
  </w:style>
  <w:style w:type="paragraph" w:styleId="TOC3">
    <w:name w:val="toc 3"/>
    <w:basedOn w:val="Normal"/>
    <w:next w:val="Normal"/>
    <w:pPr>
      <w:tabs>
        <w:tab w:val="clear" w:pos="720"/>
        <w:tab w:val="right" w:pos="2160" w:leader="none"/>
        <w:tab w:val="right" w:pos="9350" w:leader="dot"/>
      </w:tabs>
      <w:spacing w:lineRule="auto" w:line="240"/>
      <w:ind w:hanging="432" w:start="1872" w:end="720"/>
    </w:pPr>
    <w:rPr>
      <w:color w:val="000000"/>
      <w:lang w:val="en-CA"/>
    </w:rPr>
  </w:style>
  <w:style w:type="paragraph" w:styleId="SingleIndent">
    <w:name w:val="Single Indent"/>
    <w:basedOn w:val="BodyText"/>
    <w:qFormat/>
    <w:pPr>
      <w:spacing w:lineRule="auto" w:line="240" w:before="0" w:after="240"/>
      <w:ind w:hanging="0" w:start="1440" w:end="720"/>
    </w:pPr>
    <w:rPr/>
  </w:style>
  <w:style w:type="paragraph" w:styleId="Heading21">
    <w:name w:val="Heading 2]"/>
    <w:basedOn w:val="SingleIndent"/>
    <w:qFormat/>
    <w:pPr/>
    <w:rPr/>
  </w:style>
  <w:style w:type="paragraph" w:styleId="ListContinue4">
    <w:name w:val="List Continue 4"/>
    <w:basedOn w:val="Normal"/>
    <w:qFormat/>
    <w:pPr>
      <w:spacing w:lineRule="auto" w:line="480" w:before="0" w:after="120"/>
      <w:ind w:hanging="0" w:start="1440" w:end="0"/>
    </w:pPr>
    <w:rPr/>
  </w:style>
  <w:style w:type="paragraph" w:styleId="ListNumber4">
    <w:name w:val="List Number 4"/>
    <w:basedOn w:val="Normal"/>
    <w:qFormat/>
    <w:pPr>
      <w:numPr>
        <w:ilvl w:val="0"/>
        <w:numId w:val="3"/>
      </w:numPr>
      <w:tabs>
        <w:tab w:val="clear" w:pos="720"/>
      </w:tabs>
      <w:spacing w:lineRule="auto" w:line="480" w:before="0" w:after="240"/>
    </w:pPr>
    <w:rPr/>
  </w:style>
  <w:style w:type="paragraph" w:styleId="ListNumber5">
    <w:name w:val="List Number 5"/>
    <w:basedOn w:val="Normal"/>
    <w:qFormat/>
    <w:pPr>
      <w:numPr>
        <w:ilvl w:val="0"/>
        <w:numId w:val="2"/>
      </w:numPr>
      <w:tabs>
        <w:tab w:val="clear" w:pos="720"/>
      </w:tabs>
      <w:spacing w:lineRule="auto" w:line="480"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2000-07-10T02:14:00Z</dcterms:created>
  <dc:creator>Registered User</dc:creator>
  <dc:description/>
  <dc:language>en-CA</dc:language>
  <cp:lastModifiedBy>Registered User</cp:lastModifiedBy>
  <cp:lastPrinted>2000-07-10T19:14:00Z</cp:lastPrinted>
  <dcterms:modified xsi:type="dcterms:W3CDTF">2000-07-10T23:45:00Z</dcterms:modified>
  <cp:revision>75</cp:revision>
  <dc:subject/>
  <dc:title>EXECUTIVE SUMMARY</dc:title>
</cp:coreProperties>
</file>