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0" w:after="960"/>
        <w:rPr/>
      </w:pPr>
      <w:r>
        <w:rPr/>
        <w:t>BEFORE THE PUBLIC UTILITIES COMMISSION</w:t>
        <w:br/>
        <w:t>OF THE STATE OF CALIFORNIA</w:t>
      </w:r>
    </w:p>
    <w:tbl>
      <w:tblPr>
        <w:tblW w:w="9360" w:type="dxa"/>
        <w:jc w:val="start"/>
        <w:tblInd w:w="110" w:type="dxa"/>
        <w:tblLayout w:type="fixed"/>
        <w:tblCellMar>
          <w:top w:w="0" w:type="dxa"/>
          <w:start w:w="110" w:type="dxa"/>
          <w:bottom w:w="0" w:type="dxa"/>
          <w:end w:w="110" w:type="dxa"/>
        </w:tblCellMar>
      </w:tblPr>
      <w:tblGrid>
        <w:gridCol w:w="5040"/>
        <w:gridCol w:w="4320"/>
      </w:tblGrid>
      <w:tr>
        <w:trPr/>
        <w:tc>
          <w:tcPr>
            <w:tcW w:w="5040" w:type="dxa"/>
            <w:tcBorders>
              <w:bottom w:val="single" w:sz="6" w:space="0" w:color="000000"/>
              <w:end w:val="single" w:sz="6" w:space="0" w:color="000000"/>
            </w:tcBorders>
          </w:tcPr>
          <w:p>
            <w:pPr>
              <w:pStyle w:val="EnvelopeReturn"/>
              <w:suppressAutoHyphens w:val="true"/>
              <w:spacing w:lineRule="auto" w:line="240" w:before="0" w:after="60"/>
              <w:rPr/>
            </w:pPr>
            <w:r>
              <w:rPr/>
              <w:t>Investigation on the Commission’s Own Motion to Consider the Costs and Benefits of Various Promising Revisions to the Regulatory and Market Structure Governing California’s Natural Gas Industry and to Report to the California Legislature on the Commission’s Findings.</w:t>
            </w:r>
          </w:p>
        </w:tc>
        <w:tc>
          <w:tcPr>
            <w:tcW w:w="4320" w:type="dxa"/>
            <w:tcBorders/>
          </w:tcPr>
          <w:p>
            <w:pPr>
              <w:pStyle w:val="Normal"/>
              <w:suppressAutoHyphens w:val="true"/>
              <w:spacing w:before="480" w:after="240"/>
              <w:jc w:val="center"/>
              <w:rPr/>
            </w:pPr>
            <w:r>
              <w:rPr/>
              <w:t>I.99-07-003</w:t>
            </w:r>
          </w:p>
        </w:tc>
      </w:tr>
    </w:tbl>
    <w:p>
      <w:pPr>
        <w:pStyle w:val="Heading"/>
        <w:spacing w:before="2280" w:after="2040"/>
        <w:rPr/>
      </w:pPr>
      <w:r>
        <w:rPr/>
        <w:t>SOUTHERN CALIFORNIA GENERATION COALITION</w:t>
        <w:br/>
        <w:t>OPENING BRIEF</w:t>
      </w:r>
    </w:p>
    <w:tbl>
      <w:tblPr>
        <w:tblW w:w="10350" w:type="dxa"/>
        <w:jc w:val="start"/>
        <w:tblInd w:w="108" w:type="dxa"/>
        <w:tblLayout w:type="fixed"/>
        <w:tblCellMar>
          <w:top w:w="0" w:type="dxa"/>
          <w:start w:w="108" w:type="dxa"/>
          <w:bottom w:w="0" w:type="dxa"/>
          <w:end w:w="108" w:type="dxa"/>
        </w:tblCellMar>
      </w:tblPr>
      <w:tblGrid>
        <w:gridCol w:w="4410"/>
        <w:gridCol w:w="5940"/>
      </w:tblGrid>
      <w:tr>
        <w:trPr>
          <w:trHeight w:val="2770" w:hRule="atLeast"/>
        </w:trPr>
        <w:tc>
          <w:tcPr>
            <w:tcW w:w="4410" w:type="dxa"/>
            <w:tcBorders/>
          </w:tcPr>
          <w:p>
            <w:pPr>
              <w:pStyle w:val="Signature"/>
              <w:snapToGrid w:val="false"/>
              <w:ind w:start="0" w:end="0"/>
              <w:rPr/>
            </w:pPr>
            <w:r>
              <w:rPr/>
            </w:r>
          </w:p>
          <w:p>
            <w:pPr>
              <w:pStyle w:val="Signature"/>
              <w:ind w:start="0" w:end="0"/>
              <w:rPr/>
            </w:pPr>
            <w:r>
              <w:rPr/>
            </w:r>
          </w:p>
          <w:p>
            <w:pPr>
              <w:pStyle w:val="Signature"/>
              <w:ind w:start="0" w:end="0"/>
              <w:rPr/>
            </w:pPr>
            <w:r>
              <w:rPr/>
            </w:r>
          </w:p>
          <w:p>
            <w:pPr>
              <w:pStyle w:val="Signature"/>
              <w:ind w:start="0" w:end="0"/>
              <w:rPr/>
            </w:pPr>
            <w:r>
              <w:rPr/>
            </w:r>
          </w:p>
          <w:p>
            <w:pPr>
              <w:pStyle w:val="Signature"/>
              <w:ind w:start="0" w:end="0"/>
              <w:rPr/>
            </w:pPr>
            <w:r>
              <w:rPr/>
            </w:r>
          </w:p>
          <w:p>
            <w:pPr>
              <w:pStyle w:val="Signature"/>
              <w:ind w:start="0" w:end="0"/>
              <w:rPr/>
            </w:pPr>
            <w:r>
              <w:rPr/>
            </w:r>
          </w:p>
          <w:p>
            <w:pPr>
              <w:pStyle w:val="Signature"/>
              <w:ind w:start="0" w:end="0"/>
              <w:rPr/>
            </w:pPr>
            <w:r>
              <w:rPr/>
            </w:r>
          </w:p>
          <w:p>
            <w:pPr>
              <w:pStyle w:val="Signature"/>
              <w:ind w:start="0" w:end="0"/>
              <w:rPr/>
            </w:pPr>
            <w:r>
              <w:rPr/>
            </w:r>
          </w:p>
          <w:p>
            <w:pPr>
              <w:pStyle w:val="Signature"/>
              <w:ind w:start="0" w:end="0"/>
              <w:rPr/>
            </w:pPr>
            <w:r>
              <w:rPr/>
            </w:r>
          </w:p>
          <w:p>
            <w:pPr>
              <w:pStyle w:val="Signature"/>
              <w:ind w:start="0" w:end="0"/>
              <w:rPr/>
            </w:pPr>
            <w:r>
              <w:rPr/>
              <w:t>Dated: July 10, 2000</w:t>
            </w:r>
          </w:p>
        </w:tc>
        <w:tc>
          <w:tcPr>
            <w:tcW w:w="5940" w:type="dxa"/>
            <w:tcBorders/>
          </w:tcPr>
          <w:p>
            <w:pPr>
              <w:pStyle w:val="BodyText"/>
              <w:spacing w:lineRule="auto" w:line="240"/>
              <w:ind w:hanging="0" w:end="0"/>
              <w:rPr/>
            </w:pPr>
            <w:r>
              <w:rPr/>
              <w:t>Norman A. Pedersen</w:t>
              <w:br/>
              <w:t>JONES, DAY, REAVIS &amp; POGUE</w:t>
              <w:br/>
              <w:t>555 West Fifth Street</w:t>
              <w:br/>
              <w:t>Suite 4600</w:t>
              <w:br/>
              <w:t>Los Angeles, California 90013-1025</w:t>
              <w:br/>
              <w:t>Telephone: (213) 489-3939</w:t>
              <w:br/>
              <w:t>Facsimile:  (213) 243-25391</w:t>
              <w:br/>
              <w:t xml:space="preserve">e-mail:  </w:t>
            </w:r>
            <w:hyperlink r:id="rId2">
              <w:r>
                <w:rPr>
                  <w:rStyle w:val="Hyperlink"/>
                </w:rPr>
                <w:t>napedersen@jonesday.com</w:t>
              </w:r>
            </w:hyperlink>
            <w:r>
              <w:rPr/>
              <w:br/>
              <w:br/>
              <w:t xml:space="preserve">Attorneys for </w:t>
            </w:r>
            <w:r>
              <w:rPr>
                <w:b/>
              </w:rPr>
              <w:t>SOUTHERN CALIFORNIA</w:t>
              <w:br/>
              <w:t>GENERATION COALITION</w:t>
            </w:r>
          </w:p>
        </w:tc>
      </w:tr>
    </w:tbl>
    <w:p>
      <w:pPr>
        <w:pStyle w:val="BodyText"/>
        <w:rPr/>
      </w:pPr>
      <w:r>
        <w:rPr/>
      </w:r>
    </w:p>
    <w:p>
      <w:pPr>
        <w:pStyle w:val="Heading"/>
        <w:spacing w:before="0" w:after="720"/>
        <w:rPr/>
      </w:pPr>
      <w:r>
        <w:rPr/>
        <w:t>BEFORE THE PUBLIC UTILITIES COMMISSION</w:t>
        <w:br/>
        <w:t>OF THE STATE OF CALIFORNIA</w:t>
      </w:r>
    </w:p>
    <w:tbl>
      <w:tblPr>
        <w:tblW w:w="9360" w:type="dxa"/>
        <w:jc w:val="start"/>
        <w:tblInd w:w="110" w:type="dxa"/>
        <w:tblLayout w:type="fixed"/>
        <w:tblCellMar>
          <w:top w:w="0" w:type="dxa"/>
          <w:start w:w="110" w:type="dxa"/>
          <w:bottom w:w="0" w:type="dxa"/>
          <w:end w:w="110" w:type="dxa"/>
        </w:tblCellMar>
      </w:tblPr>
      <w:tblGrid>
        <w:gridCol w:w="5040"/>
        <w:gridCol w:w="4320"/>
      </w:tblGrid>
      <w:tr>
        <w:trPr/>
        <w:tc>
          <w:tcPr>
            <w:tcW w:w="5040" w:type="dxa"/>
            <w:tcBorders>
              <w:bottom w:val="single" w:sz="6" w:space="0" w:color="000000"/>
              <w:end w:val="single" w:sz="6" w:space="0" w:color="000000"/>
            </w:tcBorders>
          </w:tcPr>
          <w:p>
            <w:pPr>
              <w:pStyle w:val="Normal"/>
              <w:suppressAutoHyphens w:val="true"/>
              <w:spacing w:lineRule="auto" w:line="240" w:before="0" w:after="60"/>
              <w:rPr/>
            </w:pPr>
            <w:r>
              <w:rPr/>
              <w:t>Investigation on the Commission’s Own Motion to Consider the Costs and Benefits of Various Promising Revisions to the Regulatory and Market Structure Governing California’s Natural Gas Industry and to Report to the California Legislature on the Commission’s Findings.</w:t>
            </w:r>
          </w:p>
        </w:tc>
        <w:tc>
          <w:tcPr>
            <w:tcW w:w="4320" w:type="dxa"/>
            <w:tcBorders/>
          </w:tcPr>
          <w:p>
            <w:pPr>
              <w:pStyle w:val="Normal"/>
              <w:suppressAutoHyphens w:val="true"/>
              <w:spacing w:before="480" w:after="240"/>
              <w:jc w:val="center"/>
              <w:rPr/>
            </w:pPr>
            <w:r>
              <w:rPr/>
              <w:t>I.99-07-003</w:t>
            </w:r>
          </w:p>
        </w:tc>
      </w:tr>
    </w:tbl>
    <w:p>
      <w:pPr>
        <w:pStyle w:val="Subtitle"/>
        <w:rPr/>
      </w:pPr>
      <w:r>
        <w:rPr/>
        <w:t>SOUTHERN CALIFORNIA GENERATION COALITION</w:t>
        <w:br/>
        <w:t>OPENING BRIEF</w:t>
      </w:r>
    </w:p>
    <w:p>
      <w:pPr>
        <w:pStyle w:val="BodyText"/>
        <w:spacing w:before="0" w:after="240"/>
        <w:rPr/>
      </w:pPr>
      <w:r>
        <w:rPr/>
        <w:t>In accordance with the procedural schedule established in the April 12, 2000 Assigned Commissioner's Ruling and Rule 75 of the Rules of Practice and Procedure of the California Public Utilities Commission (“Commission”), the Southern California Generation Coalition</w:t>
      </w:r>
      <w:r>
        <w:rPr>
          <w:rStyle w:val="FootnoteCharacters"/>
          <w:rStyle w:val="FootnoteReference"/>
        </w:rPr>
        <w:footnoteReference w:id="2"/>
      </w:r>
      <w:r>
        <w:rPr/>
        <w:t xml:space="preserve"> (“SCGC”) respectfully submits this Opening Brief in support of the Interim Settlement Agreement ("ISA" or "Interim Settlement") and Post-Interim Settlement Agreement ("PSA" or "Post-Interim Settlement") filed in this proceeding and in opposition to the Comprehensive Settlement Agreement ("CSA" or "Comprehensive Settlement Agreement").  The Interim Settlement is incorporated by reference in its entirety into the Post-interim Settlement Exhibit ("Ex.") 100, at 2-3.  For the reasons discussed in this Brief, SCGC strongly recommends that the Commission to approve the Interim and Post-Interim Settlements in their entirety and to reject the Comprehensive Settlement.</w:t>
      </w:r>
    </w:p>
    <w:p>
      <w:pPr>
        <w:pStyle w:val="Heading1"/>
        <w:tabs>
          <w:tab w:val="clear" w:pos="720"/>
        </w:tabs>
        <w:ind w:hanging="0" w:start="0"/>
        <w:rPr/>
      </w:pPr>
      <w:bookmarkStart w:id="0" w:name="__RefHeading___Toc487881513"/>
      <w:bookmarkEnd w:id="0"/>
      <w:r>
        <w:rPr/>
        <w:t>Introduction:  The Challenge Is to Promote Competition, Not the Narrow Interest of Competitors</w:t>
      </w:r>
      <w:r>
        <w:rPr>
          <w:u w:val="none"/>
        </w:rPr>
        <w:t>.</w:t>
      </w:r>
    </w:p>
    <w:p>
      <w:pPr>
        <w:pStyle w:val="BodyText"/>
        <w:spacing w:before="0" w:after="240"/>
        <w:rPr/>
      </w:pPr>
      <w:r>
        <w:rPr/>
        <w:t>The Interim and Post-Interim Settlements proposes important reforms for the Southern California Gas Company ("SoCalGas") system that respond directly to customer concerns.  Accordingly, they focus on promoting competition and improving market liquidity in targeted areas for the specific purpose of benefiting SoCalGas customers.  On the other hand, the Comprehensive Settlement goes significantly beyond the steps taken in the Interim and Post</w:t>
        <w:noBreakHyphen/>
        <w:t>Interim Settlements in the interest of creating a myriad of new opportunities for marketers and costs for customers.  The marketers aren't in this to lose money.</w:t>
      </w:r>
    </w:p>
    <w:p>
      <w:pPr>
        <w:pStyle w:val="BodyText"/>
        <w:spacing w:before="0" w:after="240"/>
        <w:rPr/>
      </w:pPr>
      <w:r>
        <w:rPr/>
        <w:t xml:space="preserve">In a recent article in the Energy Law Journal, Dr. Jeffrey J. Leitzinger and Steve Ostrover observed:  "Deregulation in gas distribution will be much more competitor-driven than the prior deregulation efforts."  </w:t>
      </w:r>
      <w:r>
        <w:rPr>
          <w:u w:val="single"/>
        </w:rPr>
        <w:t>What Can We Expect From Restructuring In Natural Gas Distribution</w:t>
      </w:r>
      <w:r>
        <w:rPr/>
        <w:t xml:space="preserve">, 21 Energy Law Journal 51, 53 (2000).  The reason that gas distribution restructuring will be much more "competitor-driven" is clear:  "There is much potential for new entrants to gain from change."  </w:t>
      </w:r>
      <w:r>
        <w:rPr>
          <w:u w:val="single"/>
        </w:rPr>
        <w:t>Id.</w:t>
      </w:r>
      <w:r>
        <w:rPr/>
        <w:t xml:space="preserve">, at 59. Thus, Dr. Leitzinger and Mr. Ostrover cautioned:  "The challenge will be to sort out proposals that promote competition from those that act instead to promote competitors at the expense of competition."  </w:t>
      </w:r>
      <w:r>
        <w:rPr>
          <w:u w:val="single"/>
        </w:rPr>
        <w:t>Id.</w:t>
      </w:r>
      <w:r>
        <w:rPr/>
        <w:t xml:space="preserve">  The Commission faces that challenge here.  </w:t>
      </w:r>
    </w:p>
    <w:p>
      <w:pPr>
        <w:pStyle w:val="Heading2"/>
        <w:tabs>
          <w:tab w:val="clear" w:pos="720"/>
        </w:tabs>
        <w:ind w:hanging="0" w:start="0"/>
        <w:rPr/>
      </w:pPr>
      <w:bookmarkStart w:id="1" w:name="__RefHeading___Toc487881514"/>
      <w:bookmarkEnd w:id="1"/>
      <w:r>
        <w:rPr/>
        <w:t>The Interim and Post-Interim Settlements Promote Competition for the Benefit of SoCalGas Customers; the Comprehensive Settlement Promotes the Competitors.</w:t>
      </w:r>
    </w:p>
    <w:p>
      <w:pPr>
        <w:pStyle w:val="BodyText"/>
        <w:spacing w:before="0" w:after="240"/>
        <w:rPr/>
      </w:pPr>
      <w:r>
        <w:rPr/>
        <w:t>The provisions of the Interim and Post-Interim Settlements genuinely promote competition for the benefit of all SoCalGas customers.  By contrast, aside from provisions that duplicate points that are already included in the Interim and Post-Interim Settlements, the Comprehensive Settlement does not contain any significant additional measures which would benefit customers.  Instead, by creating stranded costs and reducing SoCalGas' flexibility in buying gas for its customers, the Comprehensive Settlement raises costs for residential customers across the SoCalGas system, regardless of whether they are located in South Central Los Angeles or Westside communities such as Marina Del Rey.  Electric generators, particularly the lower load factor generators that service California's peak electrical requirements, would be harmed even more.  Perhaps the most adversely affected community would be San Diego, which needs the new generation facilities that would tend to be discouraged by the anti-generation features of the Comprehensive Settlement.</w:t>
      </w:r>
    </w:p>
    <w:p>
      <w:pPr>
        <w:pStyle w:val="BodyText"/>
        <w:spacing w:before="0" w:after="240"/>
        <w:rPr/>
      </w:pPr>
      <w:r>
        <w:rPr/>
        <w:t xml:space="preserve">Witness Florio testified for The Utility Reform Network ("TURN"):  "The [Comprehensive Settlement] is built on the backs of low load factor customers.  They lose.  High load factor customers are left substantially indifferent.  The winners are SoCalGas shareholders, marketers, and odd lot of [Comprehensive Settlement] signatories, such as Calpine, Southern California Edison Company ('Edison'), and GreenMountain that take little or no service from the SoCalGas system."  Ex. 102, at 5 (Florio).  Residential ratepayers and electric generators are prime examples of the low load factor customers that would be advantaged by the Interim and Post-Interim Settlements but harmed by the Comprehensive Settlement.  </w:t>
      </w:r>
    </w:p>
    <w:p>
      <w:pPr>
        <w:pStyle w:val="BodyText"/>
        <w:spacing w:before="0" w:after="240"/>
        <w:rPr/>
      </w:pPr>
      <w:r>
        <w:rPr/>
        <w:t>Mr. Florio testified further, about the polar differences between the Interim and Post</w:t>
        <w:noBreakHyphen/>
        <w:t xml:space="preserve">Interim Settlements and the Comprehensive Settlements:  "While the [Comprehensive Settlement] and the [Interim and Post-Interim Settlements] have many common features, they nonetheless reflect two fundamentally different world views regarding the future structure of the natural gas industry, the goals of regulation, and the needs of natural gas customers."  Ex. 102, at 1 (Florio).  The Comprehensive Settlement is a "marketer driven document" that reflects "the longstanding views of the middlemen and other competitors who seek to fundamentally change the historic relationship between the regulated utility and its customers."  </w:t>
      </w:r>
      <w:r>
        <w:rPr>
          <w:u w:val="single"/>
        </w:rPr>
        <w:t>Id.</w:t>
      </w:r>
      <w:r>
        <w:rPr/>
        <w:t xml:space="preserve"> at 1-2.</w:t>
      </w:r>
    </w:p>
    <w:p>
      <w:pPr>
        <w:pStyle w:val="Heading2"/>
        <w:tabs>
          <w:tab w:val="clear" w:pos="720"/>
        </w:tabs>
        <w:ind w:hanging="0" w:start="0"/>
        <w:rPr/>
      </w:pPr>
      <w:bookmarkStart w:id="2" w:name="__RefHeading___Toc487881515"/>
      <w:bookmarkEnd w:id="2"/>
      <w:r>
        <w:rPr/>
        <w:t>The Interim and Post-Interim Settlements Are Supported by Customers Ranging from the Smallest to the Largest.</w:t>
      </w:r>
    </w:p>
    <w:p>
      <w:pPr>
        <w:pStyle w:val="BodyText"/>
        <w:spacing w:before="0" w:after="240"/>
        <w:rPr/>
      </w:pPr>
      <w:r>
        <w:rPr/>
        <w:t>The supporters of the Interim Settlement range from low load factor customers to high load factor customers to SoCalGas and even marketers.  The Post-Interim Settlement is even more customer-focused and enjoys even broader customer support.  It is supported by customers ranging from the largest to the smallest on the SoCalGas system.  "These parties seek to preserve the valuable elements of the traditional utility model, which provided for the operation of an integrated system that took advantage of the diversity of customer requirements to provide service that is less costly overall than the individual groups of customers could hope to achieve by going their own way," while proposing meaningful reforms that promote competition, not just competitors, in the interest of providing value to customers.  Ex. 102, at 2 (Florio).</w:t>
      </w:r>
    </w:p>
    <w:p>
      <w:pPr>
        <w:pStyle w:val="BodyText"/>
        <w:spacing w:before="0" w:after="240"/>
        <w:rPr/>
      </w:pPr>
      <w:r>
        <w:rPr/>
        <w:t xml:space="preserve">On the other hand, only a "very limited subset of end-use customers" supports the Comprehensive Settlement, namely, "high load factor customers such as the noncore industrial and cogeneration customers such as the California Industrial Group and California Manufacturers Association ('CIG/CMA') California Cogeneration Counsel ('CCC') and Watson Cogeneration."  </w:t>
      </w:r>
      <w:r>
        <w:rPr>
          <w:u w:val="single"/>
        </w:rPr>
        <w:t>Id.</w:t>
      </w:r>
      <w:r>
        <w:rPr/>
        <w:t xml:space="preserve"> at 2.  Many of the supporters of the Comprehensive Settlement are not customers of SoCalGas at all or are, at best, minimal customers.  These include Calpine Corporation, Southern California Edison Company ("Edison"), GreenMountain.com ("GreenMountain"), as well as the panoply of marketers that support the agreement.</w:t>
      </w:r>
    </w:p>
    <w:p>
      <w:pPr>
        <w:pStyle w:val="BodyText"/>
        <w:spacing w:before="0" w:after="240"/>
        <w:rPr/>
      </w:pPr>
      <w:r>
        <w:rPr/>
        <w:t>The supporters of the Interim and Post-Interim Settlements hope that the Commission will strongly consider the views and needs of the customers that the Commission is charged to protect in deciding the issues in this proceeding.</w:t>
      </w:r>
    </w:p>
    <w:p>
      <w:pPr>
        <w:pStyle w:val="Heading2"/>
        <w:tabs>
          <w:tab w:val="clear" w:pos="720"/>
        </w:tabs>
        <w:ind w:hanging="0" w:start="0"/>
        <w:rPr/>
      </w:pPr>
      <w:bookmarkStart w:id="3" w:name="__RefHeading___Toc487881516"/>
      <w:bookmarkEnd w:id="3"/>
      <w:r>
        <w:rPr/>
        <w:t>The Benefits of the Interim and Post-Interim Settlements.</w:t>
      </w:r>
    </w:p>
    <w:p>
      <w:pPr>
        <w:pStyle w:val="BodyText"/>
        <w:spacing w:before="0" w:after="240"/>
        <w:rPr/>
      </w:pPr>
      <w:r>
        <w:rPr/>
        <w:t xml:space="preserve">The Interim and Post-Interim Settlements provide a broad array of benefits for customers.  Some of the most important benefits derive from </w:t>
      </w:r>
      <w:r>
        <w:rPr>
          <w:u w:val="single"/>
        </w:rPr>
        <w:t>not</w:t>
      </w:r>
      <w:r>
        <w:rPr/>
        <w:t xml:space="preserve"> taking steps that are taken in the Comprehensive Settlement.  For example:</w:t>
      </w:r>
    </w:p>
    <w:p>
      <w:pPr>
        <w:pStyle w:val="ListBullet21"/>
        <w:numPr>
          <w:ilvl w:val="0"/>
          <w:numId w:val="9"/>
        </w:numPr>
        <w:spacing w:before="0" w:after="240"/>
        <w:ind w:hanging="0" w:start="0"/>
        <w:rPr/>
      </w:pPr>
      <w:r>
        <w:rPr/>
        <w:t>The Interim and Post-Interim Settlements preserve the benefits of the current highly competitive SoCalGas citygate gas market  by avoiding the creation of a "backbone" transmission bottleneck that could be exploited by marketers and middlemen.</w:t>
      </w:r>
    </w:p>
    <w:p>
      <w:pPr>
        <w:pStyle w:val="ListBullet21"/>
        <w:numPr>
          <w:ilvl w:val="0"/>
          <w:numId w:val="9"/>
        </w:numPr>
        <w:spacing w:before="0" w:after="240"/>
        <w:ind w:hanging="0" w:start="0"/>
        <w:rPr/>
      </w:pPr>
      <w:r>
        <w:rPr/>
        <w:t>The Interim and Post-Interim Settlements avoid increasing unit transmission costs for customers by retaining volumetric charges.</w:t>
      </w:r>
    </w:p>
    <w:p>
      <w:pPr>
        <w:pStyle w:val="ListBullet21"/>
        <w:numPr>
          <w:ilvl w:val="0"/>
          <w:numId w:val="9"/>
        </w:numPr>
        <w:spacing w:before="0" w:after="240"/>
        <w:ind w:hanging="0" w:start="0"/>
        <w:rPr/>
      </w:pPr>
      <w:r>
        <w:rPr/>
        <w:t>The Interim and Post-Interim Settlements avoiding raising transaction costs for customers.</w:t>
      </w:r>
    </w:p>
    <w:p>
      <w:pPr>
        <w:pStyle w:val="ListBullet21"/>
        <w:numPr>
          <w:ilvl w:val="0"/>
          <w:numId w:val="9"/>
        </w:numPr>
        <w:spacing w:before="0" w:after="240"/>
        <w:ind w:hanging="0" w:start="0"/>
        <w:rPr/>
      </w:pPr>
      <w:r>
        <w:rPr/>
        <w:t>The Interim and Post-Interim Settlements preserve the benefits of load diversity for customers, enhancing the reliability of service while reducing the cost.</w:t>
      </w:r>
    </w:p>
    <w:p>
      <w:pPr>
        <w:pStyle w:val="Heading3"/>
        <w:ind w:hanging="0" w:start="0"/>
        <w:rPr/>
      </w:pPr>
      <w:bookmarkStart w:id="4" w:name="__RefHeading___Toc487881517"/>
      <w:bookmarkEnd w:id="4"/>
      <w:r>
        <w:rPr/>
        <w:t>The Benefits of the Interim Settlement.</w:t>
      </w:r>
    </w:p>
    <w:p>
      <w:pPr>
        <w:pStyle w:val="BodyText"/>
        <w:spacing w:before="0" w:after="240"/>
        <w:rPr/>
      </w:pPr>
      <w:r>
        <w:rPr/>
        <w:t>Various benefits result specifically from provisions in the Interim Settlement, a settlement that was supported by SoCalGas and marketers, but which specifically addressed concerns raised by customers.  Witness Yap presented a detailed explanation and justification of each provision of the Interim Settlement in her Opening Testimony, Ex. 102, at 37-50.  In summary, some of those benefits are the following:</w:t>
      </w:r>
    </w:p>
    <w:p>
      <w:pPr>
        <w:pStyle w:val="ListBullet21"/>
        <w:numPr>
          <w:ilvl w:val="0"/>
          <w:numId w:val="9"/>
        </w:numPr>
        <w:spacing w:before="0" w:after="240"/>
        <w:ind w:hanging="0" w:start="0"/>
        <w:rPr/>
      </w:pPr>
      <w:r>
        <w:rPr/>
        <w:t>The Interim Settlement eliminates SoCalGas' current "windowing" process, enhancing the ability of shippers to nominate or change nominations for gas deliveries among the various receipt points on the SoCalGas system.</w:t>
      </w:r>
    </w:p>
    <w:p>
      <w:pPr>
        <w:pStyle w:val="ListBullet21"/>
        <w:numPr>
          <w:ilvl w:val="0"/>
          <w:numId w:val="9"/>
        </w:numPr>
        <w:spacing w:before="0" w:after="240"/>
        <w:ind w:hanging="0" w:start="0"/>
        <w:rPr/>
      </w:pPr>
      <w:r>
        <w:rPr/>
        <w:t xml:space="preserve">The Interim Settlement establishes Hector Road as a formal receipt point on SoCalGas' system for which nominations may be made.  </w:t>
      </w:r>
    </w:p>
    <w:p>
      <w:pPr>
        <w:pStyle w:val="ListBullet21"/>
        <w:numPr>
          <w:ilvl w:val="0"/>
          <w:numId w:val="9"/>
        </w:numPr>
        <w:spacing w:before="0" w:after="240"/>
        <w:ind w:hanging="0" w:start="0"/>
        <w:rPr/>
      </w:pPr>
      <w:r>
        <w:rPr/>
        <w:t xml:space="preserve">The Interim Settlement provides a mechanism that will trigger additional investment by SoCalGas to increase capacity to receive gas at the Wheeler Ridge receipt point if certain criteria are satisfied.  </w:t>
      </w:r>
    </w:p>
    <w:p>
      <w:pPr>
        <w:pStyle w:val="ListBullet21"/>
        <w:numPr>
          <w:ilvl w:val="0"/>
          <w:numId w:val="9"/>
        </w:numPr>
        <w:spacing w:before="0" w:after="240"/>
        <w:ind w:hanging="0" w:start="0"/>
        <w:rPr/>
      </w:pPr>
      <w:r>
        <w:rPr/>
        <w:t>The Interim Settlement provides for Operational Flow Order ("OFO") procedures, which are necessary to accommodate the elimination of the windowing process, but also provides for a Forum to revise OFO procedures if the frequency of OFOs exceeds the stated threshold.</w:t>
      </w:r>
    </w:p>
    <w:p>
      <w:pPr>
        <w:pStyle w:val="ListBullet21"/>
        <w:numPr>
          <w:ilvl w:val="0"/>
          <w:numId w:val="9"/>
        </w:numPr>
        <w:spacing w:before="0" w:after="240"/>
        <w:ind w:hanging="0" w:start="0"/>
        <w:rPr/>
      </w:pPr>
      <w:r>
        <w:rPr/>
        <w:t xml:space="preserve">The Interim Settlement provides for the establishment of pools of transportation gas on the SoCalGas system, which gives rise to an entirely new intrastate gas market for trading gas supplies in southern California.  </w:t>
      </w:r>
    </w:p>
    <w:p>
      <w:pPr>
        <w:pStyle w:val="ListBullet21"/>
        <w:numPr>
          <w:ilvl w:val="0"/>
          <w:numId w:val="9"/>
        </w:numPr>
        <w:spacing w:before="0" w:after="240"/>
        <w:ind w:hanging="0" w:start="0"/>
        <w:rPr/>
      </w:pPr>
      <w:r>
        <w:rPr/>
        <w:t>The Interim Settlement establishes parity among all customers, including SoCalGas' Gas Acquisition Department, by subjecting the Gas Acquisition Department to the same balancing rules and penalties as all other shippers on the SoCalGas system.</w:t>
      </w:r>
    </w:p>
    <w:p>
      <w:pPr>
        <w:pStyle w:val="ListBullet21"/>
        <w:numPr>
          <w:ilvl w:val="0"/>
          <w:numId w:val="9"/>
        </w:numPr>
        <w:spacing w:before="0" w:after="240"/>
        <w:ind w:hanging="0" w:start="0"/>
        <w:rPr/>
      </w:pPr>
      <w:r>
        <w:rPr/>
        <w:t>Consistent with establishing parity among all customers including the Gas Acquisition Department, the Interim Settlement provides that the Gas Acquisition Department will no longer buy or sell imbalance gas volumes from or to noncore customers.</w:t>
      </w:r>
    </w:p>
    <w:p>
      <w:pPr>
        <w:pStyle w:val="ListBullet21"/>
        <w:numPr>
          <w:ilvl w:val="0"/>
          <w:numId w:val="9"/>
        </w:numPr>
        <w:spacing w:before="0" w:after="240"/>
        <w:ind w:hanging="0" w:start="0"/>
        <w:rPr/>
      </w:pPr>
      <w:r>
        <w:rPr/>
        <w:t xml:space="preserve">The Interim Settlement dramatically liberalizes the trading of imbalances for all customers, including the Gas Acquisition Department.  </w:t>
      </w:r>
    </w:p>
    <w:p>
      <w:pPr>
        <w:pStyle w:val="ListBullet21"/>
        <w:numPr>
          <w:ilvl w:val="0"/>
          <w:numId w:val="9"/>
        </w:numPr>
        <w:spacing w:before="0" w:after="240"/>
        <w:ind w:hanging="0" w:start="0"/>
        <w:rPr/>
      </w:pPr>
      <w:r>
        <w:rPr/>
        <w:t>The Interim Settlement gives storage customers the right to assign and reassign their storage contracts in a secondary market, including for terms less than the full contract terms.</w:t>
      </w:r>
    </w:p>
    <w:p>
      <w:pPr>
        <w:pStyle w:val="ListBullet21"/>
        <w:numPr>
          <w:ilvl w:val="0"/>
          <w:numId w:val="9"/>
        </w:numPr>
        <w:spacing w:before="0" w:after="240"/>
        <w:ind w:hanging="0" w:start="0"/>
        <w:rPr/>
      </w:pPr>
      <w:r>
        <w:rPr/>
        <w:t xml:space="preserve">The Interim Settlement provides for SoCalGas to establish a voluntary Electronic Bulletin Board ("EBB") to facilitate secondary trading of storage contracts on the SoCalGas system.  </w:t>
      </w:r>
    </w:p>
    <w:p>
      <w:pPr>
        <w:pStyle w:val="ListBullet21"/>
        <w:numPr>
          <w:ilvl w:val="0"/>
          <w:numId w:val="9"/>
        </w:numPr>
        <w:spacing w:before="0" w:after="240"/>
        <w:ind w:hanging="0" w:start="0"/>
        <w:rPr/>
      </w:pPr>
      <w:r>
        <w:rPr/>
        <w:t xml:space="preserve">The Interim Settlement permits Core Transportation Agents ("CTAs") to have the option to accept or decline an assignment of storage "nonreliability" capacity, thereby providing CTAs with a margin that they can share with their customers.  </w:t>
      </w:r>
    </w:p>
    <w:p>
      <w:pPr>
        <w:pStyle w:val="ListBullet21"/>
        <w:numPr>
          <w:ilvl w:val="0"/>
          <w:numId w:val="9"/>
        </w:numPr>
        <w:spacing w:before="0" w:after="240"/>
        <w:ind w:hanging="0" w:start="0"/>
        <w:rPr/>
      </w:pPr>
      <w:r>
        <w:rPr/>
        <w:t xml:space="preserve">The Interim Settlement permits SoCalGas to recover the capital costs of implementing the Interim Settlement, but limits the capitalized cost to $3.5 million.  </w:t>
      </w:r>
    </w:p>
    <w:p>
      <w:pPr>
        <w:pStyle w:val="ListBullet21"/>
        <w:numPr>
          <w:ilvl w:val="0"/>
          <w:numId w:val="9"/>
        </w:numPr>
        <w:spacing w:before="0" w:after="240"/>
        <w:ind w:hanging="0" w:start="0"/>
        <w:rPr/>
      </w:pPr>
      <w:r>
        <w:rPr/>
        <w:t xml:space="preserve">The Interim Settlement provides three options for wholesale customers to pursue in managing their storage resources.  </w:t>
      </w:r>
    </w:p>
    <w:p>
      <w:pPr>
        <w:pStyle w:val="BodyText"/>
        <w:spacing w:before="0" w:after="240"/>
        <w:rPr/>
      </w:pPr>
      <w:r>
        <w:rPr/>
        <w:t xml:space="preserve">The Interim Settlement draws the "clear distinction between promoting competition and promoting competitors" that was encouraged by Leitzinger and Ostrover, </w:t>
      </w:r>
      <w:r>
        <w:rPr>
          <w:u w:val="single"/>
        </w:rPr>
        <w:t>id.</w:t>
      </w:r>
      <w:r>
        <w:rPr/>
        <w:t xml:space="preserve"> at 53.  The Interim Settlement would enhance competition in southern California in specific areas in which it would be helpful to customers.  For example, through the pooling provisions, the Interim Settlement would give rise to an entirely new market:  an intrastate, on-system market for gas.  Such a market would be likely to benefit both core and noncore customers alike as well as all other gas market participants, including marketers.</w:t>
      </w:r>
    </w:p>
    <w:p>
      <w:pPr>
        <w:pStyle w:val="BodyText"/>
        <w:spacing w:before="0" w:after="240"/>
        <w:rPr/>
      </w:pPr>
      <w:r>
        <w:rPr/>
        <w:t>Likewise, the Interim Settlement would liberalize imbalance trading rules to improve liquidity in the imbalance trading markets, and the Interim Settlement would facilitate a secondary market for storage contracts.  Furthermore, the Interim Settlement would permit customers to utilize the new imbalance trading rules and the new secondary market without imposing new fees or charges on trades that could reduce market liquidity.  In sum, the provisions of the Interim Settlement promote competition but avoid promoting competitors at the expense of competition.</w:t>
      </w:r>
    </w:p>
    <w:p>
      <w:pPr>
        <w:pStyle w:val="Heading3"/>
        <w:ind w:hanging="0" w:start="0"/>
        <w:rPr/>
      </w:pPr>
      <w:bookmarkStart w:id="5" w:name="__RefHeading___Toc487881518"/>
      <w:bookmarkEnd w:id="5"/>
      <w:r>
        <w:rPr/>
        <w:t>The Benefits of the Post-Interim Settlement.</w:t>
      </w:r>
    </w:p>
    <w:p>
      <w:pPr>
        <w:pStyle w:val="BodyText"/>
        <w:spacing w:before="0" w:after="240"/>
        <w:rPr/>
      </w:pPr>
      <w:r>
        <w:rPr/>
        <w:t>Like the Interim Settlement, the Post-Interim Settlement has a customer-driven focus on enhancing competition rather than the narrow interest of competitors.  Witness Yap provided an explanation and justification of each provision of the Post-Interim Settlement in her Opening Testimony, Ex. 102, at 50-60.  In summary, some of the benefits are the following:</w:t>
      </w:r>
    </w:p>
    <w:p>
      <w:pPr>
        <w:pStyle w:val="ListBullet21"/>
        <w:numPr>
          <w:ilvl w:val="0"/>
          <w:numId w:val="9"/>
        </w:numPr>
        <w:spacing w:before="0" w:after="240"/>
        <w:ind w:hanging="0" w:start="0"/>
        <w:rPr/>
      </w:pPr>
      <w:r>
        <w:rPr/>
        <w:t xml:space="preserve">The Post-Interim Settlement prohibits intrastate "backbone" transmission unbundling for the term of the settlement, </w:t>
      </w:r>
      <w:r>
        <w:rPr>
          <w:u w:val="single"/>
        </w:rPr>
        <w:t>i.e.</w:t>
      </w:r>
      <w:r>
        <w:rPr/>
        <w:t>, until September 1, 2006, thereby preventing the creation of "backbone" transmission bottlenecks market constraints, and demand charges for the term of the agreement.</w:t>
      </w:r>
    </w:p>
    <w:p>
      <w:pPr>
        <w:pStyle w:val="ListBullet21"/>
        <w:numPr>
          <w:ilvl w:val="0"/>
          <w:numId w:val="9"/>
        </w:numPr>
        <w:spacing w:before="0" w:after="240"/>
        <w:ind w:hanging="0" w:start="0"/>
        <w:rPr/>
      </w:pPr>
      <w:r>
        <w:rPr/>
        <w:t xml:space="preserve">The Post-Interim Settlement maintains the allocation of noncore revenue risk that was only recently adopted in the 1999 SoCalGas Biennial Cost Allocation Proceeding ("BCAP") decision, D.00-04-060 (April 20, 2000) and which was implemented on June 1, 2000.  </w:t>
      </w:r>
    </w:p>
    <w:p>
      <w:pPr>
        <w:pStyle w:val="ListBullet21"/>
        <w:numPr>
          <w:ilvl w:val="0"/>
          <w:numId w:val="9"/>
        </w:numPr>
        <w:spacing w:before="0" w:after="240"/>
        <w:ind w:hanging="0" w:start="0"/>
        <w:rPr/>
      </w:pPr>
      <w:r>
        <w:rPr/>
        <w:t xml:space="preserve">The Post-Interim Settlement eliminates any allocation of Interstate Transition Costs Surcharge ("ITCS") costs to core customers.  </w:t>
      </w:r>
    </w:p>
    <w:p>
      <w:pPr>
        <w:pStyle w:val="ListBullet21"/>
        <w:numPr>
          <w:ilvl w:val="0"/>
          <w:numId w:val="9"/>
        </w:numPr>
        <w:spacing w:before="0" w:after="240"/>
        <w:ind w:hanging="0" w:start="0"/>
        <w:rPr/>
      </w:pPr>
      <w:r>
        <w:rPr/>
        <w:t xml:space="preserve">The Post-Interim Settlement gives SoCalGas an incentive to be diligent in selling stranded interstate pipeline capacity by imposing 25 percent of the ITCS costs on SoCalGas shareholders.  </w:t>
      </w:r>
    </w:p>
    <w:p>
      <w:pPr>
        <w:pStyle w:val="ListBullet21"/>
        <w:numPr>
          <w:ilvl w:val="0"/>
          <w:numId w:val="9"/>
        </w:numPr>
        <w:spacing w:before="0" w:after="240"/>
        <w:ind w:hanging="0" w:start="0"/>
        <w:rPr/>
      </w:pPr>
      <w:r>
        <w:rPr/>
        <w:t xml:space="preserve">The Post-Interim Settlement provides for unbundling of interstate pipeline capacity associated with service to CTA customers, but assures that the responsibility for any resulting stranded costs shall be allocated primarily to customers which receive the most direct benefits of the unbundling.  </w:t>
      </w:r>
    </w:p>
    <w:p>
      <w:pPr>
        <w:pStyle w:val="ListBullet21"/>
        <w:numPr>
          <w:ilvl w:val="0"/>
          <w:numId w:val="9"/>
        </w:numPr>
        <w:spacing w:before="0" w:after="240"/>
        <w:ind w:hanging="0" w:start="0"/>
        <w:rPr/>
      </w:pPr>
      <w:r>
        <w:rPr/>
        <w:t xml:space="preserve">The Post-Interim Settlement eliminates customer risk for the cost of unbundled storage assets, effective January 1, 2003.  </w:t>
      </w:r>
    </w:p>
    <w:p>
      <w:pPr>
        <w:pStyle w:val="ListBullet21"/>
        <w:numPr>
          <w:ilvl w:val="0"/>
          <w:numId w:val="9"/>
        </w:numPr>
        <w:spacing w:before="0" w:after="240"/>
        <w:ind w:hanging="0" w:start="0"/>
        <w:rPr/>
      </w:pPr>
      <w:r>
        <w:rPr/>
        <w:t>The Post-Interim Settlement establishes a reasonable cap on SoCalGas prices for unbundled storage services.</w:t>
      </w:r>
    </w:p>
    <w:p>
      <w:pPr>
        <w:pStyle w:val="ListBullet21"/>
        <w:numPr>
          <w:ilvl w:val="0"/>
          <w:numId w:val="9"/>
        </w:numPr>
        <w:spacing w:before="0" w:after="240"/>
        <w:ind w:hanging="0" w:start="0"/>
        <w:rPr/>
      </w:pPr>
      <w:r>
        <w:rPr/>
        <w:t xml:space="preserve">The Post-Interim Settlement avoids any additional storage unbundling beyond that provided in the Interim Settlement for the term of the 1999 SoCalGas BCAP to allow the Commission and stakeholders some time to observe the effects of other reforms, such as the switch to OFOs.  </w:t>
      </w:r>
    </w:p>
    <w:p>
      <w:pPr>
        <w:pStyle w:val="ListBullet21"/>
        <w:numPr>
          <w:ilvl w:val="0"/>
          <w:numId w:val="9"/>
        </w:numPr>
        <w:spacing w:before="0" w:after="240"/>
        <w:ind w:hanging="0" w:start="0"/>
        <w:rPr/>
      </w:pPr>
      <w:r>
        <w:rPr/>
        <w:t xml:space="preserve">The Post-Interim Settlement requires that the costs associated with the Montebello storage field, 70 percent of which are currently borne by residential customers, Ex. 102, at 3 (Florio), shall be removed from rates effective September 1, 1999.  </w:t>
      </w:r>
    </w:p>
    <w:p>
      <w:pPr>
        <w:pStyle w:val="ListBullet21"/>
        <w:numPr>
          <w:ilvl w:val="0"/>
          <w:numId w:val="9"/>
        </w:numPr>
        <w:spacing w:before="0" w:after="240"/>
        <w:ind w:hanging="0" w:start="0"/>
        <w:rPr/>
      </w:pPr>
      <w:r>
        <w:rPr/>
        <w:t xml:space="preserve">The Post-Interim Settlement maintains the 1999 SoCalGas BCAP allocation of capacity to the storage balancing function for the term of the 1999 BCAP, thereby avoiding the loss of balancing capability while SoCalGas is switching from the windowing process to an OFO regime.  </w:t>
      </w:r>
    </w:p>
    <w:p>
      <w:pPr>
        <w:pStyle w:val="ListBullet21"/>
        <w:numPr>
          <w:ilvl w:val="0"/>
          <w:numId w:val="9"/>
        </w:numPr>
        <w:spacing w:before="0" w:after="240"/>
        <w:ind w:hanging="0" w:start="0"/>
        <w:rPr/>
      </w:pPr>
      <w:r>
        <w:rPr/>
        <w:t xml:space="preserve">The Post-Interim Settlement requires SoCalGas to file its next BCAP application no later than July 1, 2001 to insure that the Commission will have the full eighteen months permitted under the SB 960 rules and procedures for processing the application.  </w:t>
      </w:r>
    </w:p>
    <w:p>
      <w:pPr>
        <w:pStyle w:val="Heading2"/>
        <w:tabs>
          <w:tab w:val="clear" w:pos="720"/>
        </w:tabs>
        <w:ind w:hanging="0" w:start="0"/>
        <w:rPr/>
      </w:pPr>
      <w:bookmarkStart w:id="6" w:name="__RefHeading___Toc487881519"/>
      <w:bookmarkEnd w:id="6"/>
      <w:r>
        <w:rPr/>
        <w:t>The Benefits of the Interim and Post-Interim Settlements for Electric Generators.</w:t>
      </w:r>
    </w:p>
    <w:p>
      <w:pPr>
        <w:pStyle w:val="BodyText"/>
        <w:spacing w:before="0" w:after="240"/>
        <w:rPr/>
      </w:pPr>
      <w:r>
        <w:rPr/>
        <w:t>The different nature of the Interim and Post-Interim Settlements on the one hand and the Comprehensive Settlement on the other is illustrated by their sharply divergent impact on low load factor electric generators.</w:t>
      </w:r>
    </w:p>
    <w:p>
      <w:pPr>
        <w:pStyle w:val="Heading3"/>
        <w:ind w:hanging="0" w:start="0"/>
        <w:rPr/>
      </w:pPr>
      <w:bookmarkStart w:id="7" w:name="__RefHeading___Toc487881520"/>
      <w:bookmarkEnd w:id="7"/>
      <w:r>
        <w:rPr/>
        <w:t>The Benefits of the Interim Settlement for Electric Generators.</w:t>
      </w:r>
    </w:p>
    <w:p>
      <w:pPr>
        <w:pStyle w:val="BodyText"/>
        <w:spacing w:before="0" w:after="240"/>
        <w:rPr/>
      </w:pPr>
      <w:r>
        <w:rPr/>
        <w:t xml:space="preserve">The Interim Settlement would permit electric generators to cut costs and better respond to today’s wholesale market.  For example, the liberalized imbalance trading rules would permit electric generators to enjoy a far more liquid imbalance trading market than what we have now.  This is critical for generators that can experience large swings in load.  As another example, the development of an intrastate gas market on the SoCalGas system, as would result from the adoption of the Interim Settlement pooling rules, would permit generators that participate in daily and hourly electric markets the ability to acquire or to lay off gas supplies, depending on whether they win or lose in bidding into the wholesale electricity markets.  With pooling, generators will be able to trade gas on the SoCalGas system without affecting their nominations for transportation on the interstate pipelines, greatly facilitating intraday exchanges of gas.  </w:t>
      </w:r>
    </w:p>
    <w:p>
      <w:pPr>
        <w:pStyle w:val="Heading3"/>
        <w:ind w:hanging="0" w:start="0"/>
        <w:rPr/>
      </w:pPr>
      <w:bookmarkStart w:id="8" w:name="__RefHeading___Toc487881521"/>
      <w:bookmarkEnd w:id="8"/>
      <w:r>
        <w:rPr/>
        <w:t>The Benefits of the Post-Interim Settlement for Electric Generators.</w:t>
      </w:r>
    </w:p>
    <w:p>
      <w:pPr>
        <w:pStyle w:val="BodyText"/>
        <w:spacing w:before="0" w:after="240"/>
        <w:rPr/>
      </w:pPr>
      <w:r>
        <w:rPr/>
        <w:t xml:space="preserve">The Post-Interim Settlement builds on the benefits of the Interim Settlement for electric generators.  For example, by putting SoCalGas shareholders at a modest degree of risk for marketing stranded interstate pipeline capacity, SoCalGas for the first time would be given an incentive to maximize value in marketing stranded pipeline capacity.  CTAs would be provided with the benefits of  interstate pipeline capacity and limited storage unbundling, but the cost of unbundling would not be permitted to migrate to noncore customers, including electric generators.  The risk of unbundled storage costs would be shared between customers and shareholders, as permitted under the 1999 SoCalGas BCAP decision, D.00-04-060, but after the end of the BCAP period, risk-sharing would be eliminated, terminating noncore customer responsibility, including electric generator responsibility, for stranded storage costs.  SoCalGas, however, would not be permitted to abuse its dominant position in the southern California storage market.  SoCalGas' price for its storage products would be capped at the ceiling reservation charge currently specified in SoCalGas' Schedule G-TBS.  </w:t>
      </w:r>
    </w:p>
    <w:p>
      <w:pPr>
        <w:pStyle w:val="BodyText"/>
        <w:spacing w:before="0" w:after="240"/>
        <w:rPr/>
      </w:pPr>
      <w:r>
        <w:rPr/>
        <w:t xml:space="preserve">There are still more benefits for electric generators in the Post-Interim Settlement.  Electric generators need reliable gas transmission service.  That reliability may be adversely affected by the shift from windowing to an OFO structure.  Accordingly, the Post-Interim Settlement would prevent any unbundling of storage balancing capacity from SoCalGas transportation rates for the term of the 1999 BCAP and would maintain the 1999 BCAP storage balancing reservation for the term of the BCAP, subject to reexamination in the next BCAP after experience with the OFO regime is attained.  Furthermore, in order to assure that the next BCAP provides a timely forum for considering such important issues, the Post-Interim Settlement requires that the next SoCalGas BCAP application be submitted no later than July 1, 2001.  Lastly, the Post-Interim Settlement assures that the cost of implementing both the Interim and Post-Interim Settlements shall be kept to a minimum by capping the cost of implementing both Settlements at the level adopted in the Interim Settlement.  </w:t>
      </w:r>
    </w:p>
    <w:p>
      <w:pPr>
        <w:pStyle w:val="Heading3"/>
        <w:ind w:hanging="0" w:start="0"/>
        <w:rPr/>
      </w:pPr>
      <w:bookmarkStart w:id="9" w:name="__RefHeading___Toc487881522"/>
      <w:bookmarkEnd w:id="9"/>
      <w:r>
        <w:rPr/>
        <w:t>This Summer Shows that California Needs the Existing and New Generation that Will Be Benefited by Approval of the Interim and Post-Interim Settlements.</w:t>
      </w:r>
    </w:p>
    <w:p>
      <w:pPr>
        <w:pStyle w:val="BodyText"/>
        <w:spacing w:before="0" w:after="240"/>
        <w:rPr/>
      </w:pPr>
      <w:r>
        <w:rPr/>
        <w:t>Insofar as the Interim and Post-Interim Settlements provide a broad array of operational and rate benefits for electric generators, adopting the Interim and Post-Interim Settlements would be a positive step toward encouraging generation that is up and running to stay on line.</w:t>
      </w:r>
    </w:p>
    <w:p>
      <w:pPr>
        <w:pStyle w:val="BodyText"/>
        <w:spacing w:before="0" w:after="240"/>
        <w:rPr/>
      </w:pPr>
      <w:r>
        <w:rPr/>
        <w:t xml:space="preserve">California needs these generators.  This summer, California is facing Stage 1 and Stage 2 electric supply emergencies.  For example, on several days in June, 2000, the California Independent System Operator ("ISO") declared a Stage 1 emergency, defined as taking effect when electricity operating reserves dropped below seven percent.  Later each day, the ISO declared a Stage 2 emergency, defined as taking effect when reserves drop below five percent.  </w:t>
      </w:r>
      <w:r>
        <w:rPr>
          <w:u w:val="single"/>
        </w:rPr>
        <w:t>See</w:t>
      </w:r>
      <w:r>
        <w:rPr/>
        <w:t xml:space="preserve"> Appendix A.  Although Stage 3 emergencies have not yet occurred this summer, they could occur.  A Stage 3 emergency occurs when operating reserves fall below one and one half percent.  At that point, the ISO initiates involuntary curtailments of customers, including “rolling blackouts.”</w:t>
      </w:r>
    </w:p>
    <w:p>
      <w:pPr>
        <w:pStyle w:val="BodyText"/>
        <w:spacing w:before="0" w:after="240"/>
        <w:rPr/>
      </w:pPr>
      <w:r>
        <w:rPr/>
        <w:t>Furthermore, insofar as the Interim and Post-Interim Settlements contain a host of generation-friendly measures, adopting the Settlements will be a step toward encouraging badly needed new generation to locate in California.  That will particularly benefit San Diego, which is currently both generation-constrained and transmission-constrained.  D.00-04-060, slip op. at 47.</w:t>
      </w:r>
    </w:p>
    <w:p>
      <w:pPr>
        <w:pStyle w:val="Heading2"/>
        <w:tabs>
          <w:tab w:val="clear" w:pos="720"/>
        </w:tabs>
        <w:ind w:hanging="0" w:start="0"/>
        <w:rPr/>
      </w:pPr>
      <w:bookmarkStart w:id="10" w:name="__RefHeading___Toc487881523"/>
      <w:bookmarkEnd w:id="10"/>
      <w:r>
        <w:rPr/>
        <w:t>The Comprehensive Settlement's Attack On Electric Generators.</w:t>
      </w:r>
    </w:p>
    <w:p>
      <w:pPr>
        <w:pStyle w:val="BodyText"/>
        <w:spacing w:before="0" w:after="240"/>
        <w:rPr/>
      </w:pPr>
      <w:r>
        <w:rPr/>
        <w:t xml:space="preserve">In stark contrast to the Interim and Post-Interim Settlements, the Comprehensive Settlement is an attack on large low load factor generators.  If this Commission wants to take a step toward forcing marginal generation facilities to consider closing and toward discouraging new generation from coming into California, adopting the Comprehensive Settlement is a sure-fire step in the right direction.  As will be seen from the point-by-point discussion below, the Comprehensive Settlement aims at the heart of the low load factor electric generators.  </w:t>
      </w:r>
    </w:p>
    <w:p>
      <w:pPr>
        <w:pStyle w:val="BodyText"/>
        <w:spacing w:before="0" w:after="240"/>
        <w:rPr/>
      </w:pPr>
      <w:r>
        <w:rPr/>
        <w:t xml:space="preserve">The Comprehensive Settlement opens the opportunity for marketers to gain control over receipt point bottlenecks on the SoCalGas system.  Electric generators will be faced with a Hobson’s choice.  To the extent to which they can acquire capacity rights at the bottlenecks, they will control their own destiny.  However, the demand charges they will be required to pay will result in a dramatic increase in their unit cost of gas transmission service.  They will be unable to recover the increased unit cost in the off-peak or shoulder peak electric generation markets.  This will put the low load factor electric generators in a price squeeze, which may endanger the economic viability of marginal units.  </w:t>
      </w:r>
    </w:p>
    <w:p>
      <w:pPr>
        <w:pStyle w:val="BodyText"/>
        <w:spacing w:before="0" w:after="240"/>
        <w:rPr/>
      </w:pPr>
      <w:r>
        <w:rPr/>
        <w:t xml:space="preserve">On the other hand, if marketers gain control over the bottleneck facilities, which will inevitably occur to some significant degree, given the anti-consumer, pro-marketer structure of the open season prescribed in the Comprehensive Settlement, marketers will be able to extort high economic rents from electric generators, particularly during peak generation periods.  This will, again, be a factor endangering the survival of marginal low-load factor generation units and discouraging new generation from coming into the state.  If marketers are able to extract high economic rents from generators during peak periods, they will deprive generators of the opportunity to recover their investment in generation facilities and to earn a return on those facilities.  </w:t>
      </w:r>
    </w:p>
    <w:p>
      <w:pPr>
        <w:pStyle w:val="BodyText"/>
        <w:spacing w:before="0" w:after="240"/>
        <w:rPr/>
      </w:pPr>
      <w:r>
        <w:rPr/>
        <w:t xml:space="preserve">To make matters worse, the Comprehensive Settlement requires the core and the low load factor noncore to balance separately.  Thus, the core and the low load factor noncore customers lose the benefit of load diversity on the SoCalGas system.  Simultaneously, the Comprehensive Settlement would cut back the amount of storage capacity that is available for the bundled balancing function, and the Comprehensive Settlement would remove all caps that SoCalGas can charge for its intra-territory storage service.  The result would, again, be to impose a Hobson's choice on generators.  Either they would have to accept a dramatically lower level of reliability, or they would have to take storage services from SoCalGas at unconstrained prices, further endangering the survival of low load factor generators and discouraging new generation from coming into the service territory, including San Diego.  </w:t>
      </w:r>
    </w:p>
    <w:p>
      <w:pPr>
        <w:pStyle w:val="BodyText"/>
        <w:spacing w:before="0" w:after="240"/>
        <w:rPr/>
      </w:pPr>
      <w:r>
        <w:rPr/>
        <w:t>The Comprehensive Settlement does adopt some features of the Interim Settlement, such as liberalized imbalance trading, but then the Comprehensive Settlement, as drafted, permits customers to take advantage of such benefits only by paying fees to SoCalGas shareholders.  The services would not be made available with no additional fees as under the Interim Settlement.  Pooling would be made available under the Comprehensive Settlement, but under more restrictive terms than were agreed to by SoCalGas in the Interim Settlement.</w:t>
      </w:r>
    </w:p>
    <w:p>
      <w:pPr>
        <w:pStyle w:val="BodyText"/>
        <w:spacing w:before="0" w:after="240"/>
        <w:rPr/>
      </w:pPr>
      <w:r>
        <w:rPr/>
        <w:t>Adopting the Interim and Post Interim Settlements would put out the welcome mat to new generation and encourage existing marginal generations stay on line.  Adopting the Comprehensive Settlement, on the other hand, would send a clear, unequivocal message from this Commission to marginal low load factor generation to "get out" and to new generation to "stay out" of California.  The Commission should keep this summer's ISO emergencies in mind while it considers the issues in this proceeding.</w:t>
      </w:r>
    </w:p>
    <w:p>
      <w:pPr>
        <w:pStyle w:val="Heading1"/>
        <w:tabs>
          <w:tab w:val="clear" w:pos="720"/>
        </w:tabs>
        <w:ind w:hanging="0" w:start="0"/>
        <w:rPr/>
      </w:pPr>
      <w:bookmarkStart w:id="11" w:name="__RefHeading___Toc487881524"/>
      <w:bookmarkEnd w:id="11"/>
      <w:r>
        <w:rPr/>
        <w:t>Transmission: Unbundling Bottleneck Transmission Facilities Creates Market Opportunities For Marketers but Raises Costs and Threatens Reliability for Customers.</w:t>
      </w:r>
    </w:p>
    <w:p>
      <w:pPr>
        <w:pStyle w:val="BodyText"/>
        <w:spacing w:before="0" w:after="240"/>
        <w:rPr/>
      </w:pPr>
      <w:r>
        <w:rPr/>
        <w:t xml:space="preserve">The Post-Interim Settlement and the Comprehensive Settlement are diametrically opposed on the key issue of unbundling SoCalGas "backbone" transmission facilities.  The Comprehensive Settlement would unbundle the “backbone” facilities by October 1, 2001, while the Post-Interim Settlement would prohibit unbundling until September 1, 2006.  </w:t>
      </w:r>
    </w:p>
    <w:p>
      <w:pPr>
        <w:pStyle w:val="BodyText"/>
        <w:spacing w:before="0" w:after="240"/>
        <w:rPr/>
      </w:pPr>
      <w:r>
        <w:rPr/>
        <w:t>The "backbone" facilities that would be unbundled under the Comprehensive Settlement are segments of transmission lines leading from seven receipt points on the SoCalGas System:  Wheeler Ridge, which is subdivided into “North” and “South”; Hector Road; North Needles; Topock; Blythe; Line 85; and North Coastal.  Ex. 1, App. B; Ex. 28.  The amount of “backbone” capacity that would be made available would be 3,500 MMcf/d .  Ex. 2, at 9 (Lorenz); Ex. 28.</w:t>
      </w:r>
    </w:p>
    <w:p>
      <w:pPr>
        <w:pStyle w:val="BodyText"/>
        <w:spacing w:before="0" w:after="240"/>
        <w:rPr/>
      </w:pPr>
      <w:r>
        <w:rPr/>
        <w:t>Rights to the capacity in the “backbone” segments would initially be allocated through a number of pre-open season assignments followed by a complex three-step initial open season.  There would be an initial, pre-open season reservation for the SoCalGas Gas Acquisition Department of 1,000 MMcf/d , consisting of  300 MMcf/d  at North Needles, 290 MMcf/d at Topock, 340 MMcf/d  at Blythe, and 70 MMcf/d  on North Coastal.  Ex. 1, at 12 (CSA § 1.1.3.5.1); Ex. 27.  Additionally, CTAs would have a pre-open season right to reserve firm backbone rights.  Ex. 1, at 13 (CSA § 1.1.3.5.2); Ex. 27.  Likewise, both San Diego Gas and Electric Company and other wholesale customers would have pre-open season rights to take capacity.  Ex. 1, at 13-14 (CSA §§ 1.1.3.5.3; 1.1.3.5.4); Ex. 27.  California gas producers would have special pre-open season rights to take backbone capacity at Line 85 and North Coastal receipt points.  Ex. 1, at 15 (CSA § 1.1.3.6); Ex. 27.  Lastly, holders of long-term transportation contracts that provide for access to specific receipt points would have a pre-open season right to elect to take "backbone" capacity to the contractually specified receipt points.  Ex. 1, at 6 (CSA § 1.9);  Ex. 27.</w:t>
      </w:r>
    </w:p>
    <w:p>
      <w:pPr>
        <w:pStyle w:val="BodyText"/>
        <w:spacing w:before="0" w:after="240"/>
        <w:rPr/>
      </w:pPr>
      <w:r>
        <w:rPr/>
        <w:t xml:space="preserve">After the pre-open season allocations of capacity to the SoCalGas Gas Acquisition Department, wholesale customers, CTAs, California gas producers, and long-term contract holders, the remaining capacity would be made available through an initial three-stage open season.  A limited amount of capacity would be made available to on-system customers during Stages 1 and 2, with all remaining capacity being made available to all bidders, marketers as well as customers, in Stage 3.  </w:t>
      </w:r>
    </w:p>
    <w:p>
      <w:pPr>
        <w:pStyle w:val="BodyText"/>
        <w:spacing w:before="0" w:after="240"/>
        <w:rPr/>
      </w:pPr>
      <w:r>
        <w:rPr/>
        <w:t>This complex “backbone” unbundling and capacity rights allocation scheme is inappropriate for a grid such as the SoCalGas system, anticompetitive, and unfair to customers for the following reasons:</w:t>
      </w:r>
    </w:p>
    <w:p>
      <w:pPr>
        <w:pStyle w:val="Heading2"/>
        <w:tabs>
          <w:tab w:val="clear" w:pos="720"/>
        </w:tabs>
        <w:ind w:hanging="0" w:start="0"/>
        <w:rPr/>
      </w:pPr>
      <w:bookmarkStart w:id="12" w:name="__RefHeading___Toc487881525"/>
      <w:bookmarkEnd w:id="12"/>
      <w:r>
        <w:rPr/>
        <w:t>It Is Inappropriate to Foist "Backbone" Unbundling on a System that Lacks a Backbone.</w:t>
      </w:r>
    </w:p>
    <w:p>
      <w:pPr>
        <w:pStyle w:val="BodyText"/>
        <w:spacing w:before="0" w:after="240"/>
        <w:rPr/>
      </w:pPr>
      <w:r>
        <w:rPr/>
        <w:t xml:space="preserve">Unbundling “backbone” transmission facilities may have been appropriate for Pacific Gas and Electric Company (“PG&amp;E”), but it is not for SoCalGas.  The Gas Accord states:  "PG&amp;E’s service area is served by an integrated high-pressure transmission system that resembles an interstate pipeline system more than a typical local distribution company (LDC) system."  D. 97-08-055, App. 1, at 1 (August 1, 1997).  Accordingly, the Gas Accord unbundled PG&amp;E’s transmission system and required PG&amp;E to operate and provide service on that system “similar to an interstate pipeline.”  </w:t>
      </w:r>
      <w:r>
        <w:rPr>
          <w:u w:val="single"/>
        </w:rPr>
        <w:t>Id.</w:t>
      </w:r>
    </w:p>
    <w:p>
      <w:pPr>
        <w:pStyle w:val="BodyText"/>
        <w:spacing w:before="0" w:after="240"/>
        <w:rPr/>
      </w:pPr>
      <w:r>
        <w:rPr/>
        <w:t>The unbundling adopted in the Gas Accord for PG&amp;E must be viewed in the context of the unique physical characteristics of the PG&amp;E system as well as the very unique market and regulatory issues that were in controversy at the time that the unbundling was proposed.  Ex. 101, at 5-12 (Weil).  In addition to not facing the protracted reasonableness and other controversies that confronted PG&amp;E when it negotiated the Gas Accord, the SoCalGas system is operationally very different from PG&amp;E's.</w:t>
      </w:r>
    </w:p>
    <w:p>
      <w:pPr>
        <w:pStyle w:val="Heading3"/>
        <w:ind w:hanging="0" w:start="0"/>
        <w:rPr/>
      </w:pPr>
      <w:bookmarkStart w:id="13" w:name="__RefHeading___Toc487881526"/>
      <w:bookmarkEnd w:id="13"/>
      <w:r>
        <w:rPr/>
        <w:t>The SoCalGas System Is Primarily a Grid with Gas Flowing Bi-directionally.</w:t>
      </w:r>
    </w:p>
    <w:p>
      <w:pPr>
        <w:pStyle w:val="BodyText"/>
        <w:spacing w:before="0" w:after="240"/>
        <w:rPr/>
      </w:pPr>
      <w:r>
        <w:rPr/>
        <w:t xml:space="preserve">The SoCalGas system does not look like an interstate pipeline.  The only possible exceptions are some stretches of transmission lines at the very eastern end of the system that run from North Needles and Topock to the Newberry compressor station and from Blythe to the Moreno compressor station.  Ex. 101, at 8 (Yap);  </w:t>
      </w:r>
      <w:r>
        <w:rPr>
          <w:u w:val="single"/>
        </w:rPr>
        <w:t>see</w:t>
      </w:r>
      <w:r>
        <w:rPr/>
        <w:t xml:space="preserve"> Ex. 1, App. A.  </w:t>
      </w:r>
    </w:p>
    <w:p>
      <w:pPr>
        <w:pStyle w:val="BodyText"/>
        <w:spacing w:before="0" w:after="240"/>
        <w:rPr/>
      </w:pPr>
      <w:r>
        <w:rPr/>
        <w:t xml:space="preserve">Generally, the SoCalGas system looks like a typical LDC grid.  SoCalGas' system to the west of the Newberry and Moreno compressors is extensively networked with transmission lines moving gas in a bi-directional manner.  Ex. 101, at 27 (Yap).  SoCalGas states that it does not measure flow on most of its pipelines on an individual basis.  Generally, meters are located only where supplies enter the system and where gas is delivered to customers.  Ex. 108, Response 4.  However, there are operational meters at five locations that have the capability to measure bi-directional flow, and flow has occurred through these pipelines in both directions on a regular basis.  </w:t>
      </w:r>
      <w:r>
        <w:rPr>
          <w:u w:val="single"/>
        </w:rPr>
        <w:t>Id.</w:t>
      </w:r>
      <w:r>
        <w:rPr/>
        <w:t xml:space="preserve">  All of those pipelines included are in the list of “backbone” pipelines that would be unbundled under the Comprehensive Settlement.  Ex. 1, App. A.</w:t>
      </w:r>
    </w:p>
    <w:p>
      <w:pPr>
        <w:pStyle w:val="BodyText"/>
        <w:spacing w:before="0" w:after="240"/>
        <w:rPr/>
      </w:pPr>
      <w:r>
        <w:rPr/>
        <w:t xml:space="preserve">The Comprehensive Settlement tacitly admits that the SoCalGas system operates as a grid.  While the Gas Accord provided for transmission across separate paths, the Comprehensive Settlement explicitly states:  "Backbone transmission rights are receipt-point specific, not 'path' specific as in the case under PG&amp;E's Gas Accord."  Ex. 1, at 8.  Thus, unlike under the Gas Accord, "backbone" transmission rights under the Comprehensive Settlement are not rights to transportation on a specific path, but rather are defined as "the firm right to have SoCalGas receive gas at a specific receipt point and have SoCalGas redeliver the gas at any point of interconnection of its backbone transmission system with its local transmission system or distribution system, or to any SoCalGas storage field."  </w:t>
      </w:r>
      <w:r>
        <w:rPr>
          <w:u w:val="single"/>
        </w:rPr>
        <w:t>Id</w:t>
      </w:r>
      <w:r>
        <w:rPr/>
        <w:t>.  That sort of provision is appropriate only if the SoCalGas system operates as a grid.</w:t>
      </w:r>
    </w:p>
    <w:p>
      <w:pPr>
        <w:pStyle w:val="BodyText"/>
        <w:spacing w:before="0" w:after="240"/>
        <w:rPr/>
      </w:pPr>
      <w:r>
        <w:rPr/>
        <w:t xml:space="preserve">Thus, a primary operational difference between PG&amp;E and SoCalGas is that PG&amp;E's high-pressure transmission lines resembles interstate pipelines while SoCalGas' high pressure lines form a grid or matrix, with the exception of the eastern-most pipelines extending to the El Paso and Transwestern interconnections at the Colorado River.  </w:t>
      </w:r>
    </w:p>
    <w:p>
      <w:pPr>
        <w:pStyle w:val="Heading3"/>
        <w:ind w:hanging="0" w:start="0"/>
        <w:rPr/>
      </w:pPr>
      <w:bookmarkStart w:id="14" w:name="__RefHeading___Toc487881527"/>
      <w:bookmarkEnd w:id="14"/>
      <w:r>
        <w:rPr/>
        <w:t>The SoCalGas System Is Rich in Storage Capacity but Poor in Transmission Capacity.</w:t>
      </w:r>
    </w:p>
    <w:p>
      <w:pPr>
        <w:pStyle w:val="BodyText"/>
        <w:spacing w:before="0" w:after="240"/>
        <w:rPr/>
      </w:pPr>
      <w:r>
        <w:rPr/>
        <w:t>A further and important difference between SoCalGas and PG&amp;E is that the SoCalGas system has an abundance of storage capacity, while PG&amp;E has much more limited storage capacity.  SoCalGas has 105.6 bcf of inventory, 803 MMcf/d of injection, and 3,125 MMcf/d of withdrawal.  Ex. 2, at 17, 19 (Lorenz).  By contrast, PG&amp;E has 39.7 bcf of inventory, 289 MMcf/d maximum injection, and 1,473 MMcf/d maximum withdrawal.  D.97-08-055, App. 1 (Gas Accord),  at 18-19.  As a result, SoCalGas relies heavily upon storage to provide peaking service, while PG&amp;E relies more upon flowing gas supplies to meet its peak needs.  Ex. 101, at 8 (Florio).  As a result of being "storage rich and capacity poor," SoCalGas' "backbone" transmission system operates at a relatively high load factor of 78 percent.  Ex. 108, Response 10.</w:t>
      </w:r>
    </w:p>
    <w:p>
      <w:pPr>
        <w:pStyle w:val="BodyText"/>
        <w:spacing w:before="0" w:after="240"/>
        <w:rPr>
          <w:u w:val="single"/>
        </w:rPr>
      </w:pPr>
      <w:r>
        <w:rPr/>
        <w:t>Accordingly, while the unbundling of the PG&amp;E transmission may have been appropriate, it is operationally inappropriate for the very different SoCalGas system.  The Commission "should recognize that one size does not necessarily fit all, and that it is not necessary to use a hammer to swat a fly."  Ex. 101, at 9 (Florio).  It is inappropriate to foist "backbone" unbundling on a grid that lacks a backbone.  The labeling of SoCalGas transmission lines as "backbone" is, with the exception of SoCalGas' easternmost lines, a result-oriented attempt to create a fiction that should be rejected.</w:t>
      </w:r>
    </w:p>
    <w:p>
      <w:pPr>
        <w:pStyle w:val="Heading2"/>
        <w:tabs>
          <w:tab w:val="clear" w:pos="720"/>
        </w:tabs>
        <w:ind w:hanging="0" w:start="0"/>
        <w:rPr/>
      </w:pPr>
      <w:bookmarkStart w:id="15" w:name="__RefHeading___Toc487881528"/>
      <w:bookmarkEnd w:id="15"/>
      <w:r>
        <w:rPr/>
        <w:t>Unbundling Bottleneck Facilities that Have a Lower Slack Factor Exposes Customers to the Risk of Higher Gas Prices at the New Downstream Citygates.</w:t>
      </w:r>
    </w:p>
    <w:p>
      <w:pPr>
        <w:pStyle w:val="BodyText"/>
        <w:spacing w:before="0" w:after="240"/>
        <w:rPr/>
      </w:pPr>
      <w:r>
        <w:rPr/>
        <w:t>The receipt points into the SoCalGas system are bottlenecks.  The unbundling of the "backbone" capacity on the SoCalGas system would give third parties an opportunity to seize control of the bottlenecks and to exploit the bottlenecks without regulatory constraint.  The result of the exploitation would be inflated prices for "backbone" capacity and for gas sold at the new downstream "citygates" during periods when "backbone" slack capacity falls below ten percent toward zero.</w:t>
      </w:r>
    </w:p>
    <w:p>
      <w:pPr>
        <w:pStyle w:val="Heading3"/>
        <w:ind w:hanging="0" w:start="0"/>
        <w:rPr/>
      </w:pPr>
      <w:bookmarkStart w:id="16" w:name="__RefHeading___Toc487881529"/>
      <w:bookmarkEnd w:id="16"/>
      <w:r>
        <w:rPr/>
        <w:t>Currently, SoCalGas Customers Benefit from Robust Gas-on-Gas Competition at the Existing Citygates.</w:t>
      </w:r>
    </w:p>
    <w:p>
      <w:pPr>
        <w:pStyle w:val="BodyText"/>
        <w:spacing w:before="0" w:after="240"/>
        <w:rPr/>
      </w:pPr>
      <w:r>
        <w:rPr/>
        <w:t>Currently, SoCalGas customers get the benefit of ample gas supplies that are competitively priced at major delivery points or "citygates" into the SoCalGas system, namely, Blythe, Topock, North Needles, Wheeler Ridge/Hector Road, North Coastal, and Line 85.  At these existing citygate delivery points, gas supplies from the Permian and San Juan basins in the southwestern United States compete with supplies from the Rocky Mountains, Canada, offshore California, and California.  Ex. 101, at 13 (Yap).</w:t>
      </w:r>
    </w:p>
    <w:p>
      <w:pPr>
        <w:pStyle w:val="BodyText"/>
        <w:spacing w:before="0" w:after="240"/>
        <w:rPr/>
      </w:pPr>
      <w:r>
        <w:rPr/>
        <w:t xml:space="preserve">Competition among the various gas supply sources at the existing citygates is so effective that for the recent twelve-month period the delivered prices for any given region varied no more than one cent per decatherm ("dth") from the average price during each week.  </w:t>
      </w:r>
      <w:r>
        <w:rPr>
          <w:u w:val="single"/>
        </w:rPr>
        <w:t>Id.</w:t>
      </w:r>
      <w:r>
        <w:rPr/>
        <w:t xml:space="preserve">  More impressively, the 52-week average price for each region was virtually identical to the 52-week average for all of the regions.  </w:t>
      </w:r>
      <w:r>
        <w:rPr>
          <w:u w:val="single"/>
        </w:rPr>
        <w:t>Id.</w:t>
      </w:r>
      <w:r>
        <w:rPr/>
        <w:t xml:space="preserve"> at 14.</w:t>
      </w:r>
    </w:p>
    <w:p>
      <w:pPr>
        <w:pStyle w:val="Heading3"/>
        <w:ind w:hanging="0" w:start="0"/>
        <w:rPr/>
      </w:pPr>
      <w:bookmarkStart w:id="17" w:name="__RefHeading___Toc487881530"/>
      <w:bookmarkEnd w:id="17"/>
      <w:r>
        <w:rPr/>
        <w:t>The Robust Gas-on-Gas Competition at Existing Citygates Is Made Possible by an Ample Slack Factor on Incoming Pipelines.</w:t>
      </w:r>
    </w:p>
    <w:p>
      <w:pPr>
        <w:pStyle w:val="BodyText"/>
        <w:spacing w:before="0" w:after="240"/>
        <w:rPr>
          <w:b/>
        </w:rPr>
      </w:pPr>
      <w:r>
        <w:rPr/>
        <w:t xml:space="preserve">The competitiveness and liquidity of the vibrant existing citygate market is made possible by the abundance of pipeline capacity leading up to the citygates and the resulting ample "slack" factor.  In a landmark decision, D.90-02-016, the Commission found that a "slack factor" is necessary to prevent tight pipeline capacity from causing an increase in commodity prices: </w:t>
      </w:r>
    </w:p>
    <w:p>
      <w:pPr>
        <w:pStyle w:val="SingleIndent"/>
        <w:ind w:firstLine="720" w:end="720"/>
        <w:rPr/>
      </w:pPr>
      <w:r>
        <w:rPr/>
        <w:t>On a full pipeline sellers cannot move more gas by reducing price.  Nor can buyers obtain price discounts by offering to buy more gas.  When there is insufficient available transportation and capacity then that gas which has access to whatever capacity remains available is in a seller's market and can demand a premium price.</w:t>
      </w:r>
    </w:p>
    <w:p>
      <w:pPr>
        <w:pStyle w:val="BodyTextNoIndent"/>
        <w:spacing w:before="0" w:after="240"/>
        <w:rPr/>
      </w:pPr>
      <w:r>
        <w:rPr/>
        <w:t>D.90-02-016, slip op. at 56.  The Commission found that it would be wise to allow for additional capacity of up to 20 percent.  Ten percent was the minimum:</w:t>
      </w:r>
    </w:p>
    <w:p>
      <w:pPr>
        <w:pStyle w:val="SingleIndent"/>
        <w:rPr/>
      </w:pPr>
      <w:r>
        <w:rPr/>
        <w:t>We believe the record demonstrates the wisdom of planning to allow for additional capacity of up to 20% in order to support the unbundled gas service structure, foster competition (gas-to-gas and pipeline-to-pipeline), and achieve a higher level of reliability of gas service in California.  The hearings in this proceeding illuminated the difference in gas costs experienced on the PG&amp;E system (which generally maintained a 10% excess of interstate capacity over demand) compared to SoCalGas (which essentially operated at 100% of capacity in recent years).  As discussed above, a number of different factors may contribute to the lower gas costs obtained by PG&amp;E, but we are convinced that additional interstate capacity greatly facilitated PG&amp;E's ability to take advantage of the competitive forces that resulted in lower cost supplies.</w:t>
      </w:r>
    </w:p>
    <w:p>
      <w:pPr>
        <w:pStyle w:val="BodyTextNoIndent"/>
        <w:spacing w:before="0" w:after="240"/>
        <w:rPr/>
      </w:pPr>
      <w:r>
        <w:rPr/>
        <w:t>D.90-02-016, slip op. at 58.</w:t>
      </w:r>
    </w:p>
    <w:p>
      <w:pPr>
        <w:pStyle w:val="BodyText"/>
        <w:spacing w:before="0" w:after="240"/>
        <w:rPr/>
      </w:pPr>
      <w:r>
        <w:rPr/>
        <w:t xml:space="preserve">The Commission found that cold year throughput should be used for capacity planning purposes.  Thus, the Commission added a "slack" factor of 10 percent to forecasted cold year throughput to develop a near-term projection of the interstate pipeline capacity needed to serve California.  </w:t>
      </w:r>
      <w:r>
        <w:rPr>
          <w:u w:val="single"/>
        </w:rPr>
        <w:t>Id</w:t>
      </w:r>
      <w:r>
        <w:rPr/>
        <w:t xml:space="preserve">.  The Commission said that for a longer term, </w:t>
      </w:r>
      <w:r>
        <w:rPr>
          <w:u w:val="single"/>
        </w:rPr>
        <w:t>e.g.</w:t>
      </w:r>
      <w:r>
        <w:rPr/>
        <w:t>, 15 years, it would be appropriate to plan for enough capacity to have a 10 to 20 percent slack factor.</w:t>
      </w:r>
    </w:p>
    <w:p>
      <w:pPr>
        <w:pStyle w:val="BodyText"/>
        <w:spacing w:before="0" w:after="240"/>
        <w:rPr/>
      </w:pPr>
      <w:r>
        <w:rPr/>
        <w:t>The incoming pipeline capacity at the SoCalGas receipt points greatly exceeds the 10 percent "slack factor" that was found to be necessary in D.90-02-016.  Firm pipeline capacity leading up to the SoCalGas citygates is 6,150 MMcf/d.  Ex. 28.  This capacity serves an average daily SoCalGas market of 2,690 MMcf/d, a PG&amp;E Line 300 market of 612 MMcf/d, and a combined Kern River Gas Transmission Company ("Kern River") and Mojave Pipeline Company ("Mojave") direct load market of 610 MMcf/d.  Ex. 28.  Thus, the total daily average market served by the incoming 6,150 MMcf/d of capacity is 3,912 MMcf/d.  Given that load, the incoming pipeline slack factor is over 36 percent, substantially more than the 10 percent slack factor found to be necessary in D.90-02-016.  Cold year demand figures are not available in the record, but clearly the slack factor of the incoming pipelines exceeds both the "necessary" 10 percent and the "advisable" 20 percent slack factors that were found to be appropriate in D.90</w:t>
        <w:noBreakHyphen/>
        <w:t>02-016 regardless of whether average year or cold year figures are used.  The result of having ample slack capacity on the incoming pipelines is the robust gas-on-gas competition at the existing citygates.</w:t>
      </w:r>
    </w:p>
    <w:p>
      <w:pPr>
        <w:pStyle w:val="Heading3"/>
        <w:ind w:hanging="0" w:start="0"/>
        <w:rPr/>
      </w:pPr>
      <w:bookmarkStart w:id="18" w:name="__RefHeading___Toc487881531"/>
      <w:bookmarkEnd w:id="18"/>
      <w:r>
        <w:rPr/>
        <w:t>SoCalGas' "Backbone" Takeaway Capacity Is a Bottleneck that Has a Lower Slack Factor than on the Incoming Pipelines.</w:t>
      </w:r>
    </w:p>
    <w:p>
      <w:pPr>
        <w:pStyle w:val="BodyText"/>
        <w:spacing w:before="0" w:after="240"/>
        <w:rPr/>
      </w:pPr>
      <w:r>
        <w:rPr/>
        <w:t>SoCalGas receipt point and takeaway capacity is a bottleneck.  The abundance of incoming pipeline capacity of 6,150 MMcf/d is accessed by customers on the SoCalGas system through SoCalGas receipt points and "backbone" capacity that have a total takeaway capacity of only 3,500 MMcf/d.</w:t>
      </w:r>
    </w:p>
    <w:p>
      <w:pPr>
        <w:pStyle w:val="BodyText"/>
        <w:spacing w:before="0" w:after="240"/>
        <w:rPr/>
      </w:pPr>
      <w:r>
        <w:rPr/>
        <w:t>The slack factor on the SoCalGas takeaway capacity is much less than on the pipelines serving the existing citygates.  The SoCalGas takeaway capacity is utilized at a high load factor, 77 percent assuming an average year daily throughput of 2,690 MMcf/d, or 78  percent after the core's requirement for fuel and unaccounted for gas is taken into account.  Ex. 28; Ex. 108, Response 10.  Thus, the slack factor of the SoCalGas takeaway capacity is approximately 22 percent, if slack capacity is measured on the basis of average year daily demand.</w:t>
      </w:r>
    </w:p>
    <w:p>
      <w:pPr>
        <w:pStyle w:val="BodyText"/>
        <w:spacing w:before="0" w:after="240"/>
        <w:rPr/>
      </w:pPr>
      <w:r>
        <w:rPr/>
        <w:t>The slack factor would be somewhat less if cold year throughput figures were used.  Using 1999 BCAP cold year figures, which are the figures the Commission prefers for planning purposes, D.90</w:t>
        <w:noBreakHyphen/>
        <w:t>02.016, slip op. at 56.  The cold year daily throughput would be 2851 Mdth/d, or 2806 MMcf/d, resulting in the SoCalGas takeaway capacity being utilized at an 80 percent load factor.  The cold year slack factor would be 20 percent.  D.00</w:t>
        <w:noBreakHyphen/>
        <w:t>04</w:t>
        <w:noBreakHyphen/>
        <w:t>060, slip op., App. D, Table  11, p. 1; Table 12, p. 1.</w:t>
      </w:r>
    </w:p>
    <w:p>
      <w:pPr>
        <w:pStyle w:val="BodyText"/>
        <w:spacing w:before="0" w:after="240"/>
        <w:rPr/>
      </w:pPr>
      <w:bookmarkStart w:id="19" w:name="jj"/>
      <w:bookmarkEnd w:id="19"/>
      <w:r>
        <w:rPr/>
        <w:t>Furthermore, a review of SoCalGas operating data for 1998 and 1999 indicates that there were on average approximately ten days each year during which the SoCalGas system was taking deliveries at or above 90 percent of the receipt point takeaway capacity.  Thus, in both 1998 and 1999, there were days when SoCalGas' slack receipt point and takeaway capacity fell below the 10 percent level.</w:t>
      </w:r>
    </w:p>
    <w:p>
      <w:pPr>
        <w:pStyle w:val="BodyText"/>
        <w:spacing w:before="0" w:after="240"/>
        <w:rPr/>
      </w:pPr>
      <w:r>
        <w:rPr/>
        <w:t xml:space="preserve">The potential for SoCalGas takeaway capacity to experience low slack factors is apt to increase.  SoCalGas' demand forecasts indicate that there will be a 17 percent increase in loads over the next 15 years.  Ex. 101, at 15 (Yap); 1998 </w:t>
      </w:r>
      <w:r>
        <w:rPr>
          <w:u w:val="single"/>
        </w:rPr>
        <w:t>California Gas Report</w:t>
      </w:r>
      <w:r>
        <w:rPr/>
        <w:t>, 60.</w:t>
      </w:r>
    </w:p>
    <w:p>
      <w:pPr>
        <w:pStyle w:val="Heading3"/>
        <w:ind w:hanging="0" w:start="0"/>
        <w:rPr/>
      </w:pPr>
      <w:bookmarkStart w:id="20" w:name="__RefHeading___Toc487881532"/>
      <w:bookmarkEnd w:id="20"/>
      <w:r>
        <w:rPr/>
        <w:t>Under the Current Structure, the SoCalGas Receipt Point and "Backbone" Bottleneck Has Little Impact on Gas Prices at the Existing Citygates.</w:t>
      </w:r>
    </w:p>
    <w:p>
      <w:pPr>
        <w:pStyle w:val="BodyText"/>
        <w:spacing w:before="0" w:after="240"/>
        <w:rPr/>
      </w:pPr>
      <w:r>
        <w:rPr/>
        <w:t>Currently, control of SoCalGas takeaway capacity is in the hands of customers (including the SoCalGas Gas Acquisition Department) or their designated agents.  Thus, SoCalGas customers have direct access through the SoCalGas receipt points to the highly competitive gas markets that flourish on the pipelines at the existing SoCalGas citygates.  If SoCalGas' 3,500 MMcf/d receipt point capacity nears full utilization, there is no necessary effect on delivered gas prices at the existing citygates.  Absent other factors such as high demand elsewhere in the nation that might affect gas prices, the existing citygate prices will tend to remain stable.  There is enough of a pipeline slack factor to ensure continued robust gas</w:t>
        <w:noBreakHyphen/>
        <w:t>on-gas competition.</w:t>
      </w:r>
    </w:p>
    <w:p>
      <w:pPr>
        <w:pStyle w:val="BodyText"/>
        <w:spacing w:before="0" w:after="240"/>
        <w:rPr/>
      </w:pPr>
      <w:r>
        <w:rPr/>
        <w:t>Currently, even if the SoCalGas receipt point and backbone capacity slack factor approaches zero, there is still gas</w:t>
        <w:noBreakHyphen/>
        <w:t>on</w:t>
        <w:noBreakHyphen/>
        <w:t>gas competition on the 6,150 MMcf/d incoming pipeline capacity.  That incoming capacity is 43 percent more than the SoCalGas takeaway capacity of 3500 MMcf/d and 10 percent more than total takeaway capacity of 5,530 MMcf/d, including PG&amp;E Line 300, Kern River, and Mojave.  Ex. 28.  Thus, in the nearly unimaginable situation in which virtually every cubic foot of takeaway capacity leading away from the pipelines coming to southern California were utilized at a 100 percent load factor, there would still be the 10 percent slack factor on the incoming pipelines that the Commission found sufficient in D.90-02-016 to keep gas prices in check.</w:t>
      </w:r>
    </w:p>
    <w:p>
      <w:pPr>
        <w:pStyle w:val="Heading3"/>
        <w:ind w:hanging="0" w:start="0"/>
        <w:rPr/>
      </w:pPr>
      <w:bookmarkStart w:id="21" w:name="__RefHeading___Toc487881533"/>
      <w:bookmarkEnd w:id="21"/>
      <w:r>
        <w:rPr/>
        <w:t>The Lower "Backbone" Slack Factor Can Lead to Higher Gas Prices at the New Downstream Citygates.</w:t>
      </w:r>
    </w:p>
    <w:p>
      <w:pPr>
        <w:pStyle w:val="BodyText"/>
        <w:spacing w:before="0" w:after="240"/>
        <w:rPr/>
      </w:pPr>
      <w:r>
        <w:rPr/>
        <w:t>Under the Comprehensive Settlement, SoCalGas' "backbone" receipt point and takeaway capacity would be unbundled and put into the hands of third parties.  New downstream citygates would be created which would be fed by "backbone" capacity having an average daily slack factor of only a little over 20 percent on an average year throughput basis and less if cold year throughput figures were used.</w:t>
      </w:r>
    </w:p>
    <w:p>
      <w:pPr>
        <w:pStyle w:val="BodyText"/>
        <w:spacing w:before="0" w:after="240"/>
        <w:rPr/>
      </w:pPr>
      <w:r>
        <w:rPr/>
        <w:t>Creating new intrastate citygates that are fed by capacity having a tighter slack factor would tend to have a negative effect on gas prices.  If demand at the new downstream citygates exceeds the "backbone" capacity feeding the new intrastate capacity, there will be no slack factor, and citygate gas prices will be unconstrained by effective gas-on-gas competition:  "When there is insufficient available transportation capacity then that gas which has access to whatever capacity remains available is in a seller's market and can demand a premium price."  D.90-02-016, slip op. at 56.</w:t>
      </w:r>
    </w:p>
    <w:p>
      <w:pPr>
        <w:pStyle w:val="Heading2"/>
        <w:tabs>
          <w:tab w:val="clear" w:pos="720"/>
        </w:tabs>
        <w:ind w:hanging="0" w:start="0"/>
        <w:rPr/>
      </w:pPr>
      <w:bookmarkStart w:id="22" w:name="__RefHeading___Toc487881534"/>
      <w:bookmarkEnd w:id="22"/>
      <w:r>
        <w:rPr/>
        <w:t>The Comprehensive Settlement Would Provide an Opportunity for Third Parties to Seize Control of Essential Bottleneck Facilities that Could be Exploited Without Regulatory Constraint.</w:t>
      </w:r>
    </w:p>
    <w:p>
      <w:pPr>
        <w:pStyle w:val="BodyText"/>
        <w:spacing w:before="0" w:after="240"/>
        <w:rPr/>
      </w:pPr>
      <w:r>
        <w:rPr/>
        <w:t xml:space="preserve">At times, demand alone may push slack capacity on the "backbone" capacity deep into the danger zone below 10 percent.  Already, on various days, the slack factor falls below the 10 percent that the Commission found in D.90-02-016 to be necessary to keep commodity prices in check.  Ex. 101, at 14-15 (Yap).  It appears that this may now be happening on the PG&amp;E system.  PG&amp;E has proposed in its recent BCAP application to increase the core's reservation of Baja capacity stating:  "Without additional firm Baja capacity, core customers would have to compete with other segments of the market such as electric generators and noncore customers for scarce and potentially high-priced citygate supplies."  A.00-04-002, at 4-3 (April 3, 2000).  PG&amp;E adds:  "The additional Baja capacity will reduce core customers' reliance on high-priced citygate purchases. . . ."  </w:t>
      </w:r>
      <w:r>
        <w:rPr>
          <w:u w:val="single"/>
        </w:rPr>
        <w:t>Id</w:t>
      </w:r>
      <w:r>
        <w:rPr/>
        <w:t>. at 4-6.  It is bad enough to create a new intrastate citygate market that is fed by capacity having an average daily slack factor of roughly 20 percent downstream of existing citygates fed by pipelines having a slack factor of 36 percent.  Worse, however, is that control over the SoCalGas receipt point and "backbone" capacity bottleneck would be wrested from customers and put into the hands of third parties who will now stand between customers and the highly competitive gas markets at the existing citygates.  Those third parties may be able to manipulate the capacity so as to effectively reduce the slack factor to nothing even when demand is not at a peak.  Larry Black, the witness for Southwest Gas Company ("Southwest Gas"), saw the problem and summarized it well from a customer's standpoint:</w:t>
      </w:r>
    </w:p>
    <w:p>
      <w:pPr>
        <w:pStyle w:val="BodyTextIndent3"/>
        <w:rPr/>
      </w:pPr>
      <w:r>
        <w:rPr/>
        <w:t>Everyone who is a customer of SoCalGas should look with care at the propriety of inserting others into the middle of that environment and turning control of what is an essential part of the distribution system of the utility over to unregulated third parties.  The only purpose for others to want to be there is for profit.  Southwest sees no benefits it can derive from competition at the citygates that it cannot derive at the SoCalGas receipt points with no demand charges in between.</w:t>
      </w:r>
    </w:p>
    <w:p>
      <w:pPr>
        <w:pStyle w:val="BodyTextNoIndent"/>
        <w:spacing w:before="0" w:after="240"/>
        <w:rPr/>
      </w:pPr>
      <w:r>
        <w:rPr/>
        <w:t>Ex. 800 at 12-13 (Black).</w:t>
      </w:r>
    </w:p>
    <w:p>
      <w:pPr>
        <w:pStyle w:val="BodyText"/>
        <w:spacing w:before="0" w:after="240"/>
        <w:rPr/>
      </w:pPr>
      <w:r>
        <w:rPr/>
        <w:t xml:space="preserve">Under the Interim Settlement, customer control of the SoCalGas receipt points would be enhanced by the elimination of windowing and by fixing the amount of capacity that is available to customers on the basis of physical maximums for each receipt point.  Ex. 100, Att. A, at 5 (ISA § I.A.).  The Comprehensive Settlement, by contrast, goes exactly in the opposite direction from serving customer interests by "turning control of what is an essential part of the distribution system of the utility over to unregulated third parties."  Ex. 800, </w:t>
      </w:r>
      <w:r>
        <w:rPr>
          <w:u w:val="single"/>
        </w:rPr>
        <w:t>id</w:t>
      </w:r>
      <w:r>
        <w:rPr/>
        <w:t xml:space="preserve">.  This gives the third parties the ability to manipulate the "bottleneck" capacity to drive up both capacity prices and new downstream citygate gas prices.  </w:t>
      </w:r>
    </w:p>
    <w:p>
      <w:pPr>
        <w:pStyle w:val="BodyText"/>
        <w:spacing w:before="0" w:after="240"/>
        <w:rPr/>
      </w:pPr>
      <w:r>
        <w:rPr/>
        <w:t>Comprehensive settlement supporters offer two responses to Mr. Black's concern about third parties gaining control over the bottleneck facilities.  (1) </w:t>
      </w:r>
      <w:r>
        <w:rPr>
          <w:u w:val="single"/>
        </w:rPr>
        <w:t>Interruptible capacity:</w:t>
      </w:r>
      <w:r>
        <w:rPr/>
        <w:t xml:space="preserve">  Comprehensive Settlement supporters argue that if a third party controls "backbone" capacity and then withholds capacity from the market, SoCalGas will be there to sell the capacity on an interruptible basis with a cap of 120 percent of the "straight fixed variable" ("SFV") reservation rate of $0.07191 per dth.  Ex. 1, at 18 (CSA § 1.1.3.7).  (2) </w:t>
      </w:r>
      <w:r>
        <w:rPr>
          <w:u w:val="single"/>
        </w:rPr>
        <w:t>Forty Percent "Market Concentration" Limit</w:t>
      </w:r>
      <w:r>
        <w:rPr/>
        <w:t>:  Comprehensive Settlement supporters argue that if a third party withholds backbone capacity to drive up either the price of capacity or commodity prices at the new citygates, the Comprehensive Settlement's 40 percent "market concentration limit" will assure that other marketers will be there to sell capacity in the secondary market.  Ex. 1, at 19 (CSA § 1.1.3.9).  Neither of these arguments provide any solace for turning control of the bottleneck receipt point and "backbone" capacity over to unregulated third parties.</w:t>
      </w:r>
    </w:p>
    <w:p>
      <w:pPr>
        <w:pStyle w:val="Heading3"/>
        <w:ind w:hanging="0" w:start="0"/>
        <w:rPr/>
      </w:pPr>
      <w:bookmarkStart w:id="23" w:name="__RefHeading___Toc487881535"/>
      <w:bookmarkEnd w:id="23"/>
      <w:r>
        <w:rPr/>
        <w:t xml:space="preserve">Insofar as </w:t>
      </w:r>
      <w:r>
        <w:rPr>
          <w:b w:val="false"/>
        </w:rPr>
        <w:t xml:space="preserve">SoCalGas Would Be Permitted but not Required to Sell Interruptible Capacity, </w:t>
      </w:r>
      <w:r>
        <w:rPr/>
        <w:t>Interruptible Capacity Sales Would Not Be a Dependable Check on Third Party Manipulation of Bottleneck Receipt Point and "Backbone" Capacity.</w:t>
      </w:r>
    </w:p>
    <w:p>
      <w:pPr>
        <w:pStyle w:val="BodyText"/>
        <w:spacing w:before="0" w:after="240"/>
        <w:rPr/>
      </w:pPr>
      <w:r>
        <w:rPr/>
        <w:t xml:space="preserve">It is true that if SoCalGas sells its receipt point capacity on a firm basis so that control of firm capacity is transferred into the hands of third parties, SoCalGas would be permitted by the Comprehensive Settlement to sell interruptible capacity to the extent that it is available, subject to a cap of 120 percent of the Comprehensive Settlement SFV reservation rate.  Ex. 1, at 18 (CSA § 1.1.3.7).  However, it is false to assume that merely permitting SoCalGas to sell interruptible capacity would be an effective check on potential third party manipulation of bottleneck receipt point and "backbone" capacity. </w:t>
      </w:r>
    </w:p>
    <w:p>
      <w:pPr>
        <w:pStyle w:val="BodyText"/>
        <w:spacing w:before="0" w:after="240"/>
        <w:rPr/>
      </w:pPr>
      <w:r>
        <w:rPr/>
        <w:t xml:space="preserve">Although SoCalGas might have the ability to undercut any attempts by holders of "backbone" capacity to exercise market power by selling interruptible service, SoCalGas may not have the will.  SoCalGas may have a mutual interest with marketers in withholding capacity to raise the price or to promote sales of any unsold firm capacity.  The dangers of this sort of shared interest between the primary marketer of capacity and secondary marketers has been recognized by the Federal Energy Regulatory Commission ("FERC").  The FERC developed a solution:  it </w:t>
      </w:r>
      <w:r>
        <w:rPr>
          <w:i/>
        </w:rPr>
        <w:t>requires</w:t>
      </w:r>
      <w:r>
        <w:rPr/>
        <w:t xml:space="preserve"> the primary marketer of capacity to sell interruptible capacity if it is available.  </w:t>
      </w:r>
    </w:p>
    <w:p>
      <w:pPr>
        <w:pStyle w:val="BodyText"/>
        <w:spacing w:before="0" w:after="240"/>
        <w:rPr/>
      </w:pPr>
      <w:r>
        <w:rPr/>
        <w:t xml:space="preserve">In its Order 637, the FERC removed the rate cap for short-term capacity releases in the secondary market by holders of firm interstate pipeline capacity.  Reg – Preamble, FERCSR ¶ 31,091 (February 9, 2000); Ex. 103.  The FERC recognized that it is possible that secondary marketers may attempt to exercise market power by withholding capacity so as to raise capacity prices.  Order 637, </w:t>
      </w:r>
      <w:r>
        <w:rPr>
          <w:u w:val="single"/>
        </w:rPr>
        <w:t>id.</w:t>
      </w:r>
      <w:r>
        <w:rPr/>
        <w:t xml:space="preserve">, 31, 281.  The FERC also recognized that secondary marketers would probably be unsuccessful in attempts to raise prices by withholding capacity if the primary marketer, the pipeline, sold available capacity on an interruptible basis.  Order 637, </w:t>
      </w:r>
      <w:r>
        <w:rPr>
          <w:u w:val="single"/>
        </w:rPr>
        <w:t>id.</w:t>
      </w:r>
      <w:r>
        <w:rPr/>
        <w:t xml:space="preserve"> 31,282.  The FERC noted, however, that the primary marketer might have a shared interest with the secondary marketers in withholding capacity.  There may be "an oligopolistic market structure" in which "the pipeline and the firm shippers will have a mutual interest in withholding capacity to raise price . . . ."  </w:t>
      </w:r>
      <w:r>
        <w:rPr>
          <w:u w:val="single"/>
        </w:rPr>
        <w:t>id.</w:t>
      </w:r>
      <w:r>
        <w:rPr/>
        <w:t xml:space="preserve">  The FERC's solution was to require rather than simply to permit pipelines to sell available capacity on an interruptible basis:</w:t>
      </w:r>
    </w:p>
    <w:p>
      <w:pPr>
        <w:pStyle w:val="BlockText"/>
        <w:rPr/>
      </w:pPr>
      <w:r>
        <w:rPr/>
        <w:t>The pipelines will be required to sell both short-term and long-term capacity at just and reasonable cost-based rate.  In the short-term, a releasing shipper's attempt to withhold capacity in order to raise price above maximum rates will be undermined because the pipeline will be required to sell that capacity as interruptible capacity to a shipper willing to pay the maximum rate.  Shippers also have the option of purchasing long-term capacity from the pipelines at just and reasonable rates.</w:t>
      </w:r>
    </w:p>
    <w:p>
      <w:pPr>
        <w:pStyle w:val="BodyTextNoIndent"/>
        <w:spacing w:before="0" w:after="240"/>
        <w:rPr/>
      </w:pPr>
      <w:r>
        <w:rPr/>
        <w:t xml:space="preserve">Order 637, </w:t>
      </w:r>
      <w:r>
        <w:rPr>
          <w:u w:val="single"/>
        </w:rPr>
        <w:t>id.</w:t>
      </w:r>
    </w:p>
    <w:p>
      <w:pPr>
        <w:pStyle w:val="BodyText"/>
        <w:spacing w:before="0" w:after="240"/>
        <w:rPr/>
      </w:pPr>
      <w:r>
        <w:rPr/>
        <w:t>The Comprehensive Settlement does not take the critical step that the FERC took.  The Comprehensive Settlement fails to require SoCalGas to sell interruptible capacity.  Ex. 1, at 18 (CSA § 1.1.7.7); Tr. 614 (Lorenz).  Thus, the Comprehensive Settlement does not adequately protect market manipulation of the secondary "backbone" capacity market and the new downstream citygate gas markets by withholding of capacity.</w:t>
      </w:r>
    </w:p>
    <w:p>
      <w:pPr>
        <w:pStyle w:val="Heading3"/>
        <w:ind w:hanging="0" w:start="0"/>
        <w:rPr/>
      </w:pPr>
      <w:bookmarkStart w:id="24" w:name="__RefHeading___Toc487881536"/>
      <w:bookmarkEnd w:id="24"/>
      <w:r>
        <w:rPr/>
        <w:t>The 40 Percent Market Concentration Limit Is Narrowly Circumscribed and Easily Circumvented.</w:t>
      </w:r>
    </w:p>
    <w:p>
      <w:pPr>
        <w:pStyle w:val="BodyText"/>
        <w:spacing w:before="0" w:after="240"/>
        <w:rPr/>
      </w:pPr>
      <w:r>
        <w:rPr/>
        <w:t>A possible excuse that Comprehensive Settlement supporters might give for failing to take the FERC's step of requiring the sale of interruptible capacity by the primary marketer might be that the Comprehensive Settlement contains a 40 percent "market concentration" limit:  "No person shall be entitled to acquire through the initial open season process more than 40 percent of the capacity at any individual receipt point that has not been awarded to SoCalGas' Gas Acquisition Department or CTAs or wholesale customers in the [initial open season] process . . . ."  Ex. 1, at 19 (CSA § 1.1.3.9).  Thus, Comprehensive Settlement supporters may claim that the hypothetical that concerned the FERC would not arise under the Comprehensive Settlement.  If SoCalGas failed to sell interruptible capacity to undercut an attempt by a secondary marketer to drive up prices by withholding capacity, other secondary marketers would step into undercut the withholder.</w:t>
      </w:r>
    </w:p>
    <w:p>
      <w:pPr>
        <w:pStyle w:val="BodyText"/>
        <w:tabs>
          <w:tab w:val="clear" w:pos="720"/>
          <w:tab w:val="left" w:pos="2160" w:leader="none"/>
        </w:tabs>
        <w:spacing w:before="0" w:after="240"/>
        <w:ind w:firstLine="810" w:start="-90" w:end="0"/>
        <w:rPr/>
      </w:pPr>
      <w:r>
        <w:rPr/>
        <w:t xml:space="preserve">The Comprehensive Settlement supporters have produced no evidence to support the effectiveness of the 40 percent cap.  Ex. 102, at 17 (Weil).  In fact, the 40 percent provision would be ineffective for several reasons.  </w:t>
      </w:r>
    </w:p>
    <w:p>
      <w:pPr>
        <w:pStyle w:val="BodyText"/>
        <w:tabs>
          <w:tab w:val="clear" w:pos="720"/>
          <w:tab w:val="left" w:pos="2160" w:leader="none"/>
        </w:tabs>
        <w:spacing w:before="0" w:after="240"/>
        <w:ind w:firstLine="810" w:start="-90" w:end="0"/>
        <w:rPr/>
      </w:pPr>
      <w:r>
        <w:rPr/>
        <w:t xml:space="preserve">First, the 40 percent limit would be ineffective because, by its terms, it is limited to the acquisition of "backbone" capacity in the initial open season.  The Comprehensive Settlement envisions the marketing of capacity in subsequent open seasons, through contracts negotiated individually with SoCalGas, and in the secondary market.  The Comprehensive Settlement specifically provides that the 40 percent limitation shall </w:t>
      </w:r>
      <w:r>
        <w:rPr>
          <w:i/>
        </w:rPr>
        <w:t>not</w:t>
      </w:r>
      <w:r>
        <w:rPr/>
        <w:t xml:space="preserve"> apply in those circumstances:  "Capacity acquired in the open seasons after the initial open season, the secondary market, or through individually-negotiated contracts with SoCalGas is not subject to the 40 percent limitation."  Ex. 1, at 19 (CSA § 1.1.3.9).</w:t>
      </w:r>
    </w:p>
    <w:p>
      <w:pPr>
        <w:pStyle w:val="BodyText"/>
        <w:tabs>
          <w:tab w:val="clear" w:pos="720"/>
          <w:tab w:val="left" w:pos="2160" w:leader="none"/>
        </w:tabs>
        <w:spacing w:before="0" w:after="240"/>
        <w:ind w:firstLine="810" w:start="-90" w:end="0"/>
        <w:rPr/>
      </w:pPr>
      <w:r>
        <w:rPr/>
        <w:t>Second, the market concentration limit would be ineffective because it could easily be circumvented even during the initial open season.  Any marketer that desired to exceed the 40 percent limit could simply enter into side-deals with customers who could bid in the initial open season to have the customers take capacity in the open season and immediately assign the capacity in a secondary market transaction to the marketer.  Tr. 613 (Lorenz).  Thus, through side-deals with customers eligible to bid in the first two rounds of the initial open season, a marketer could position itself to assemble rights to capacity at individual receipt points that would exceed the 40 percent limit.</w:t>
      </w:r>
    </w:p>
    <w:p>
      <w:pPr>
        <w:pStyle w:val="BodyText"/>
        <w:tabs>
          <w:tab w:val="clear" w:pos="720"/>
          <w:tab w:val="left" w:pos="2160" w:leader="none"/>
        </w:tabs>
        <w:spacing w:before="0" w:after="240"/>
        <w:ind w:firstLine="810" w:start="-90" w:end="0"/>
        <w:rPr/>
      </w:pPr>
      <w:r>
        <w:rPr/>
        <w:t xml:space="preserve">Third, the 40 percent limit would be ineffective because it is set too high.  This is illustrated by the fact that the 40 percent cap exceeds levels of market power that have elsewhere concerned the Commission.  As a result of the sale of capacity by El Paso Natural Gas Company ("El Paso") to El Paso Merchant Energy-Gas, L.P. and El Paso Merchant Energy Company (jointly "El Paso Merchant"), El Paso Merchant currently controls approximately 19.7 percent of the interstate pipeline capacity into California (1.4 bcf/d held by El Paso Merchant divided by 7.1 bcf/d of total capacity to California).  Ex. 102, at 17 (Weil).  The Commission filed a complaint on April 4, 2000 against El Paso and El Paso Merchant at the FERC regarding the release of the 1.4 bcf/d to El Paso Merchant, complaining:  "El Paso Merchant has become the largest holder of capacity to California in order to exercise market power and artificially drive up prices at the California border on any of the interstate pipelines on which it transports gas."  </w:t>
      </w:r>
      <w:r>
        <w:rPr>
          <w:u w:val="single"/>
        </w:rPr>
        <w:t>California Public Utilities Commission v. El Paso Natural Gas Company, et. al.</w:t>
      </w:r>
      <w:r>
        <w:rPr/>
        <w:t>, RP00</w:t>
        <w:noBreakHyphen/>
        <w:t>241</w:t>
        <w:noBreakHyphen/>
        <w:t>000, Complaint, at 27 (April 4, 2000) ("</w:t>
      </w:r>
      <w:r>
        <w:rPr>
          <w:u w:val="single"/>
        </w:rPr>
        <w:t>CPUC v. El Paso</w:t>
      </w:r>
      <w:r>
        <w:rPr/>
        <w:t xml:space="preserve">"), </w:t>
      </w:r>
      <w:r>
        <w:rPr>
          <w:i/>
        </w:rPr>
        <w:t>quoted in</w:t>
      </w:r>
      <w:r>
        <w:rPr/>
        <w:t xml:space="preserve"> Ex. 101, at 14 (Yap).</w:t>
      </w:r>
    </w:p>
    <w:p>
      <w:pPr>
        <w:pStyle w:val="BodyText"/>
        <w:tabs>
          <w:tab w:val="clear" w:pos="720"/>
          <w:tab w:val="left" w:pos="2160" w:leader="none"/>
        </w:tabs>
        <w:spacing w:before="0" w:after="240"/>
        <w:ind w:firstLine="810" w:start="-90" w:end="0"/>
        <w:rPr/>
      </w:pPr>
      <w:r>
        <w:rPr/>
        <w:t>Thus, the Commission appears to be concerned about a single entity such as El Paso Merchant controlling under 20 percent of capacity rights to California, yet the market concentration limit contained in the Comprehensive Settlement would permit a single entity to hold significantly more than that percentage.  The market concentration limit contained in the Comprehensive Settlement is nothing more than an ineffective window dressing.</w:t>
      </w:r>
    </w:p>
    <w:p>
      <w:pPr>
        <w:pStyle w:val="Heading2"/>
        <w:tabs>
          <w:tab w:val="clear" w:pos="720"/>
        </w:tabs>
        <w:ind w:hanging="0" w:start="0"/>
        <w:rPr/>
      </w:pPr>
      <w:bookmarkStart w:id="25" w:name="__RefHeading___Toc487881537"/>
      <w:bookmarkEnd w:id="25"/>
      <w:r>
        <w:rPr/>
        <w:t>Open Season Procedures Proposed in the Comprehensive Settlement Would Prevent Noncore Customers from Obtaining the Capacity They Need to Assure Reliable Gas Transmission Service.</w:t>
      </w:r>
    </w:p>
    <w:p>
      <w:pPr>
        <w:pStyle w:val="BodyText"/>
        <w:tabs>
          <w:tab w:val="clear" w:pos="720"/>
          <w:tab w:val="left" w:pos="2160" w:leader="none"/>
        </w:tabs>
        <w:spacing w:before="0" w:after="240"/>
        <w:rPr/>
      </w:pPr>
      <w:r>
        <w:rPr/>
        <w:t xml:space="preserve">The open season procedure proposed in the Comprehensive Settlement would prevent noncore customers, particularly, electric generators, from getting the capacity they need to assure reliable gas transmission service.  Although they are designated "noncore," electric generators, as well as other noncore customers need highly reliable gas transmission service.  For example, due to Air Quality Management District ("AQMD") restrictions on their use of No. 6 fuel oil in southern California, electric generators served on the SoCalGas system cannot utilize fuel oil as a backup for natural gas service.  That is why electric generators, with the assistance of concerned allies such as TURN, negotiated the Service Interruption Credit as part of Capacity Brokering Settlement that was approved in D.91-11-025, slip op. at 29 (Nov. 6, 1991).  </w:t>
      </w:r>
    </w:p>
    <w:p>
      <w:pPr>
        <w:pStyle w:val="BodyText"/>
        <w:tabs>
          <w:tab w:val="clear" w:pos="720"/>
          <w:tab w:val="left" w:pos="2160" w:leader="none"/>
        </w:tabs>
        <w:spacing w:before="0" w:after="240"/>
        <w:rPr/>
      </w:pPr>
      <w:r>
        <w:rPr/>
        <w:t xml:space="preserve">Furthermore, electricity consumers need generators to receive highly reliable gas transmission service.  A lack of reliable gas transmission service for electric generators could obviously result, ultimately, in blackouts.  These can be costly for electricity consumers.  For example, during a recent rolling blackout in the San Francisco Bay area, one Silicon Valley company said it lost $1 million </w:t>
      </w:r>
      <w:r>
        <w:rPr>
          <w:i/>
        </w:rPr>
        <w:t xml:space="preserve">an hour </w:t>
      </w:r>
      <w:r>
        <w:rPr/>
        <w:t xml:space="preserve">during the period that it was without electricity.  </w:t>
      </w:r>
      <w:r>
        <w:rPr>
          <w:u w:val="single"/>
        </w:rPr>
        <w:t>San Francisco Chronicle</w:t>
      </w:r>
      <w:r>
        <w:rPr/>
        <w:t>, "Tech Firms Take Heat For Energy Shortages" (June 16, 2000).</w:t>
      </w:r>
    </w:p>
    <w:p>
      <w:pPr>
        <w:pStyle w:val="BodyText"/>
        <w:spacing w:before="0" w:after="240"/>
        <w:rPr/>
      </w:pPr>
      <w:r>
        <w:rPr/>
        <w:t xml:space="preserve">The Comprehensive Settlement provides for a variety of pre-open season allocations of capacity to various market segments that the Comprehensive Settlement supporters believed to be worthy of preferential treatment.  The list of preferred market segments notably omitted electric generators in spite of their well-known need for highly reliable gas transmission service.  </w:t>
      </w:r>
    </w:p>
    <w:p>
      <w:pPr>
        <w:pStyle w:val="BodyText"/>
        <w:spacing w:before="0" w:after="240"/>
        <w:ind w:firstLine="1440" w:end="0"/>
        <w:rPr/>
      </w:pPr>
      <w:r>
        <w:rPr/>
        <w:t>Even though the generators require highly reliable service and have fought for such service at this Commission for years, particularly after the curtailments in the 1980s, and even though electric generators have paid for the SoCalGas system for years, the Comprehensive Settlement would establish open season procedures that are coldly calculated to force these customers into the waiting arms of marketers.  The open season procedures proposed in the Comprehensive Settlement would put electric generators at risk of being unable to obtain capacity that would match their requirements.</w:t>
      </w:r>
    </w:p>
    <w:p>
      <w:pPr>
        <w:pStyle w:val="Heading3"/>
        <w:ind w:hanging="0" w:start="0"/>
        <w:rPr/>
      </w:pPr>
      <w:bookmarkStart w:id="26" w:name="__RefHeading___Toc487881538"/>
      <w:bookmarkEnd w:id="26"/>
      <w:r>
        <w:rPr/>
        <w:t>The Comprehensive Settlement Would Explicitly Prohibit New Generators From Bidding in the First and Second "Customer-Only" Stages of the Initial Open Season.</w:t>
      </w:r>
    </w:p>
    <w:p>
      <w:pPr>
        <w:pStyle w:val="BodyText"/>
        <w:spacing w:before="0" w:after="240"/>
        <w:rPr/>
      </w:pPr>
      <w:r>
        <w:rPr/>
        <w:t>The Comprehensive Settlement would prohibit new generators from bidding in the first two "customer-only" stages of the initial open season.  Noncore customers would be permitted to participate in the first two stages only "to the extent of their historical load . . . ."  Ex. 1, at 16.  More specifically:  "The maximum customers can bid in the first and second stages will be based on their consumption in the most recent annual period for which data is available prior to conduct of  the open season."  Ex. 1, at 15-16 (CSA § 1.1.3.6.1).  Thus, if a generator has recently installed additional generation facilities, which in today's environment should be encouraged, and consumption figures for the new facilities are not included in data for "the most recent annual period for which data is available prior to the conduct of the open season," the electric generator would not be able to bid for any capacity for his new generation facilities during the first two stages of the open season.</w:t>
      </w:r>
    </w:p>
    <w:p>
      <w:pPr>
        <w:pStyle w:val="Heading3"/>
        <w:ind w:hanging="0" w:start="0"/>
        <w:rPr/>
      </w:pPr>
      <w:bookmarkStart w:id="27" w:name="__RefHeading___Toc487881539"/>
      <w:bookmarkEnd w:id="27"/>
      <w:r>
        <w:rPr/>
        <w:t>The Comprehensive Settlement Would Explicitly Prohibit Noncore Customers, Including Electric Generators, from Submitting Bids in the First and Second Stages to Get Capacity Sufficient to Meet Their Peak Requirements.</w:t>
      </w:r>
    </w:p>
    <w:p>
      <w:pPr>
        <w:pStyle w:val="BodyText"/>
        <w:spacing w:before="0" w:after="240"/>
        <w:rPr/>
      </w:pPr>
      <w:r>
        <w:rPr/>
        <w:t>From the standpoint of electric generators, however, the provisions of the Comprehensive Settlement get even worse.  The Comprehensive Settlement goes on to provide:  "Customers' maximum bidding rights shall be determined by a formula that fairly balances seasonal and annual usage."  Ex. 1, at 16 (CSA § 1.1.3.6.1).  The Comprehensive Settlement is ominously silent about what would constitute a "fair balance" between "seasonal" and "annual" usage.  This much is clear, however:  an electric generator would not be permitted to bid for capacity based on its peak need, regardless of whether that was defined as being peak day or defined as being seasonal peak.  Instead, the electric generator would be limited to bidding in the first two stages of the open season on the basis of some formula that "balances" seasonal and annual usage.  That provision, by its explicit terms, makes it clear that an electric generator will be barred from acquiring capacity adequate to meet either peak season or peak day requirements.</w:t>
      </w:r>
    </w:p>
    <w:p>
      <w:pPr>
        <w:pStyle w:val="BodyText"/>
        <w:spacing w:before="0" w:after="240"/>
        <w:rPr/>
      </w:pPr>
      <w:r>
        <w:rPr/>
        <w:t>It would be contradictory for California, on the one hand, to advertise that it wants to keep existing generation and to get new generation to relieve the current pressure on electric generation reserve margins, while, on the other hand, adopting Comprehensive Settlement provisions that would explicitly, by their terms, prohibit an electric generator from obtaining the capacity needed to meet peak requirements in the "customer-only" stages of the open season.</w:t>
      </w:r>
    </w:p>
    <w:p>
      <w:pPr>
        <w:pStyle w:val="BodyText"/>
        <w:spacing w:before="0" w:after="240"/>
        <w:rPr/>
      </w:pPr>
      <w:r>
        <w:rPr/>
        <w:t>That is not the end of it, however.  Even if EG customers were permitted to bid for amounts of capacity sufficient to meet their peak needs in the first two "customer-only" stages of the initial open season, EG customers would still not be able to get their full requirements due to the limitations placed on the amount of capacity that would be available during the first two stages.</w:t>
      </w:r>
    </w:p>
    <w:p>
      <w:pPr>
        <w:pStyle w:val="Heading3"/>
        <w:ind w:hanging="0" w:start="0"/>
        <w:rPr/>
      </w:pPr>
      <w:bookmarkStart w:id="28" w:name="__RefHeading___Toc487881540"/>
      <w:bookmarkEnd w:id="28"/>
      <w:r>
        <w:rPr/>
        <w:t>Even If the Comprehensive Settlement Did Not Specifically Prevent Noncore Customers from Bidding in the First Two Stages of the Initial Open Season for Capacity Needed for Reliable Service to Meet Peak Need, the Restrictions on the Amount of Capacity that Would Be Made Available During the First Two Stages Would Prevent Noncore Customers from Getting Adequate Reliability Capacity.</w:t>
      </w:r>
    </w:p>
    <w:p>
      <w:pPr>
        <w:pStyle w:val="BodyText"/>
        <w:spacing w:before="0" w:after="240"/>
        <w:ind w:firstLine="810" w:start="-90" w:end="0"/>
        <w:rPr/>
      </w:pPr>
      <w:r>
        <w:rPr/>
        <w:t>The Comprehensive Settlement limits the amount of capacity that would be available during the first two stages of the initial open season so severely that even if EG customers were the only existing customers bidding in the first two stages, they would not be able to get capacity sufficient to meet their peak needs.</w:t>
      </w:r>
    </w:p>
    <w:p>
      <w:pPr>
        <w:pStyle w:val="BodyText"/>
        <w:spacing w:before="0" w:after="240"/>
        <w:ind w:firstLine="810" w:start="-90" w:end="0"/>
        <w:rPr/>
      </w:pPr>
      <w:r>
        <w:rPr/>
        <w:t>The Comprehensive Settlement provides:  "No more than fifty percent of the capacity remaining after the SoCalGas Gas Acquisition Department capacity reservation at any individual receipt point will be subject to being contracted in the first stage or second stage of the open season."  Ex. 1, at 16 (CSA § 1.1.3.6.1).  Insofar as the total SoCalGas "backbone" capacity is 3,500 MMcf/d (Ex. 28), and insofar as the SoCalGas Gas Acquisition Department's pre-open season reservation is 1,000 MMcf/d (Ex. 1, at 12 (CSA § 1.1.3.5.1), it would seem from this that the capacity available in the first two "customer only" stages of the open season would be 1,250 MMcf/d.  Ex. 102, at 23 (Yap).  The peak loads of the EG class are about 1,550 MMcf/d, based on the last five years.  Ex. 102, at 22-23 (Yap).  Thus, even if EGs were the only customers bidding for open season capacity and were permitted to bid on the basis of their peak needs, they would not be able to get enough capacity in the first two stages of the open season</w:t>
      </w:r>
    </w:p>
    <w:p>
      <w:pPr>
        <w:pStyle w:val="BodyText"/>
        <w:spacing w:before="0" w:after="240"/>
        <w:ind w:firstLine="810" w:start="-90" w:end="0"/>
        <w:rPr/>
      </w:pPr>
      <w:r>
        <w:rPr/>
        <w:t>However, it gets worse.  The restrictions on the amount of capacity available in the first two stages of the initial open season are even more onerous than assumed from a straightforward reading of the "50 percent limitation" provision quoted above.  At the direction of ALJ Biren, SoCalGas produced Ex. 27 showing the amount of capacity that would be made available in the first two stages.  Instead of 1,250 MMcf/d, as seems would be available from a straightforward reading of the Comprehensive Settlement, the actual capacity that would be made available in stages one and two would be only 916 MMcf/d, not 1,250 MMcf/d.</w:t>
      </w:r>
    </w:p>
    <w:p>
      <w:pPr>
        <w:pStyle w:val="BodyText"/>
        <w:spacing w:before="0" w:after="240"/>
        <w:ind w:firstLine="810" w:start="-90" w:end="0"/>
        <w:rPr/>
      </w:pPr>
      <w:r>
        <w:rPr/>
        <w:t>It appears from Exhibit 27 that SoCalGas and its cohorts regard all Line 85 and North Coastal capacity as being dedicated to the Gas Acquisition Department and producers.  Second, it seems from Exhibit 27 that the Comprehensive Settlement supporters intend the pre-open season allocations to CTAs, SDG&amp;E, other wholesale customers, and long-term contract holders to be subtracted in their entirety from the amount of receipt point capacity that one would assume from a straightforward reading of the Comprehensive Settlement to be available in the first two stages.</w:t>
      </w:r>
    </w:p>
    <w:p>
      <w:pPr>
        <w:pStyle w:val="BodyText"/>
        <w:spacing w:before="0" w:after="240"/>
        <w:ind w:firstLine="810" w:start="-90" w:end="0"/>
        <w:rPr/>
      </w:pPr>
      <w:r>
        <w:rPr/>
        <w:t>Thus, even if EG customers were not limited by historical usage or by the "formula" that limits their stage one and two open season bids to an amount that "balances" their seasonal and annual needs, and even if EG customers took every bit of capacity that would be made available in the first two stages of the open season, they would only be able to get 916 MMcf/d to met their peak needs of 1550 MMcf/d.  They would be 40 percent short.</w:t>
      </w:r>
    </w:p>
    <w:p>
      <w:pPr>
        <w:pStyle w:val="BodyText"/>
        <w:spacing w:before="0" w:after="240"/>
        <w:ind w:firstLine="810" w:start="-90" w:end="0"/>
        <w:rPr>
          <w:b/>
        </w:rPr>
      </w:pPr>
      <w:r>
        <w:rPr/>
        <w:t>The Comprehensive Settlement supporters may counter that the EG customers could still participate in stage three of the open season in competition with marketers or they could rely upon secondary market capacity.  Neither of those alternatives are satisfactory, however, for customers that need to be assured of highly reliable service.</w:t>
      </w:r>
    </w:p>
    <w:p>
      <w:pPr>
        <w:pStyle w:val="Heading3"/>
        <w:ind w:hanging="0" w:start="0"/>
        <w:rPr/>
      </w:pPr>
      <w:bookmarkStart w:id="29" w:name="__RefHeading___Toc487881541"/>
      <w:bookmarkEnd w:id="29"/>
      <w:r>
        <w:rPr/>
        <w:t>Customers that Require Highly Reliable Service Cannot Count on Obtaining Required Capacity in Stage 3 of the Open Season.</w:t>
      </w:r>
    </w:p>
    <w:p>
      <w:pPr>
        <w:pStyle w:val="BodyText"/>
        <w:spacing w:before="0" w:after="240"/>
        <w:ind w:firstLine="810" w:end="0"/>
        <w:rPr/>
      </w:pPr>
      <w:r>
        <w:rPr/>
        <w:t xml:space="preserve">Customers such as EGs which require highly reliable transmission service are very unlikely to be able to get the additional capacity they need in Stage 3 of the initial open season.  According to the Comprehensive Settlement, "the third stage of the initial open season is open to any creditworthy person," including marketers.  Ex. 1, at 16 (CSA § 1.1.3.6.3).  It is likely that marketers are going to be aggressive participants in the third stage of the initial open season and in subsequent open seasons.  </w:t>
      </w:r>
    </w:p>
    <w:p>
      <w:pPr>
        <w:pStyle w:val="BodyText"/>
        <w:spacing w:before="0" w:after="240"/>
        <w:ind w:firstLine="810" w:end="0"/>
        <w:rPr/>
      </w:pPr>
      <w:r>
        <w:rPr/>
        <w:t>Under the Gas Accord, PG&amp;E's open season for "backbone" capacity was  like stage three of the Comprehensive Settlement initial open season in that there were no preferential rights for on-system noncore customers.  In the initial open season for PG&amp;E Redwood Path capacity, 51 percent (926 MMcf/d) of the total capacity (1,803 MMcf/d) was awarded to marketers and only 15 percent (271 MMcf/d) was awarded to noncore endusers.  Ex. 101, at 12 (Weil).  If that same ratio (926/271) is applied to the amount of capacity that SoCalGas will make available in the third stage of the initial open season, 1,150 MMcf/d (Ex. 27), noncore end users would get only 23 percent or 260 MMcf/d with the remaining 77 percent or 890 MMcf/d going to marketers.</w:t>
      </w:r>
    </w:p>
    <w:p>
      <w:pPr>
        <w:pStyle w:val="BodyText"/>
        <w:spacing w:before="0" w:after="240"/>
        <w:ind w:firstLine="810" w:end="0"/>
        <w:rPr/>
      </w:pPr>
      <w:r>
        <w:rPr/>
        <w:t>Thus, assuming that EGs are the only customers bidding in the third "all comers" stage of the initial open season, and assuming that EGs customers got all of the 916 MMcf/d of capacity available in the first two "customer only" stages of the open season, EG customers would still be able to get only 1,176 MMcf/d of capacity (916 MMcf/d plus 260 MMcf/d), just a little over 75 percent of their historical peak need based on the last five years.  Of course, the actual total that EGs would be likely to get in the open season would probably be significantly less than 75 percent of their peak need, insofar as other noncore customers would also be bidding for firm capacity.</w:t>
      </w:r>
    </w:p>
    <w:p>
      <w:pPr>
        <w:pStyle w:val="Heading3"/>
        <w:ind w:hanging="0" w:start="0"/>
        <w:rPr/>
      </w:pPr>
      <w:bookmarkStart w:id="30" w:name="__RefHeading___Toc487881542"/>
      <w:bookmarkEnd w:id="30"/>
      <w:r>
        <w:rPr/>
        <w:t>Noncore Customers that Require Highly Reliable Service Will Not Be Able to Rely on the Secondary Market for their Required Capacity.</w:t>
      </w:r>
    </w:p>
    <w:p>
      <w:pPr>
        <w:pStyle w:val="BodyText"/>
        <w:spacing w:before="0" w:after="240"/>
        <w:rPr/>
      </w:pPr>
      <w:r>
        <w:rPr/>
        <w:t xml:space="preserve">The apparent response of Comprehensive Settlement supporters to the plight of noncore customers that require highly reliable gas transmission service is that even though the customers will be locked out of getting the capacity that they need in the Comprehensive Settlement initial open season, they will be able to get the capacity on the secondary market.  For example, witness Lorenz claims: "Since utilization of the SoCalGas system traditionally peaks during the winter periods due to high core demand, those customers who are traditionally summer peaking (such as EG customers) should have the ability to acquire Backbone Transmission capacity in the secondary market under favorable market conditions."  Ex. 2, at 11 (Lorenz).  This might sound good, but it does not match reality.  </w:t>
      </w:r>
    </w:p>
    <w:p>
      <w:pPr>
        <w:pStyle w:val="BodyText"/>
        <w:spacing w:before="0" w:after="240"/>
        <w:rPr/>
      </w:pPr>
      <w:r>
        <w:rPr/>
        <w:t>Assuming that EGs aggressively pursue their limited rights to acquire capacity in the initial open season, the large blocks of reserved capacity are likely to be held by (1) the SoCalGas Gas Acquisition Department due to its 1,000 MMcf/d pre-open season reservation and (2) by marketers, given the PG&amp;E experience.  Ex. 101, at 12 (Weil).  Therefore, it is likely that the SoCalGas Gas Acquisition Department and marketers will be the only ones who will be in a position to decide whether to sell "backbone" capacity in the secondary market during the summer.</w:t>
      </w:r>
    </w:p>
    <w:p>
      <w:pPr>
        <w:pStyle w:val="Heading4"/>
        <w:tabs>
          <w:tab w:val="clear" w:pos="720"/>
        </w:tabs>
        <w:ind w:hanging="0" w:start="0"/>
        <w:rPr/>
      </w:pPr>
      <w:r>
        <w:rPr/>
        <w:t>The SoCalGas Gas Acquisition Department Will Be a Limited Source of Secondary Market Capacity.</w:t>
      </w:r>
    </w:p>
    <w:p>
      <w:pPr>
        <w:pStyle w:val="BodyText"/>
        <w:spacing w:before="0" w:after="240"/>
        <w:rPr/>
      </w:pPr>
      <w:r>
        <w:rPr/>
        <w:t xml:space="preserve">The SoCalGas Acquisition Department will be a very limited source of capacity during the summer.  Assuming bundles core average year sales of 323,780 Mdth, as adopted in 1999 SoCalGas BCAP, D.00-04-060, App. D, Table 11, p. 5, 1.94, the bundled core represents an annual average daily load of 887 Mdth/d, or 873 MMcf/d, which would require that the Gas Acquisition Department operate its 1,000 MMcf/d of "backbone" capacity at a relatively high daily average load factor over 87 percent.  </w:t>
      </w:r>
    </w:p>
    <w:p>
      <w:pPr>
        <w:pStyle w:val="BodyText"/>
        <w:spacing w:before="0" w:after="240"/>
        <w:rPr/>
      </w:pPr>
      <w:r>
        <w:rPr/>
        <w:t>However, the Gas Acquisition Department's  use of transmission capacity is skewed toward the summer storage injection season.  For the summer period May 1 through September 30, 1999, the bundled core through put was 99.8 MMcf/d.Ex.109.  Thus, during the summer when EG are goint to be most likely to be looking for "backbone" transmission capacity, the SoCalGas Gas Acquisition Department will be fully utilizing its 1,000 MMcf/d of "backbone" capacity.  That will leave Egs and similarly situated noncore customers in the hands of marketers.</w:t>
      </w:r>
    </w:p>
    <w:p>
      <w:pPr>
        <w:pStyle w:val="Heading4"/>
        <w:tabs>
          <w:tab w:val="clear" w:pos="720"/>
        </w:tabs>
        <w:ind w:hanging="0" w:start="0"/>
        <w:rPr/>
      </w:pPr>
      <w:r>
        <w:rPr/>
        <w:t>Marketers Will Be an Uncertain Source of Secondary Market Capacity.</w:t>
      </w:r>
    </w:p>
    <w:p>
      <w:pPr>
        <w:pStyle w:val="BodyText"/>
        <w:spacing w:before="0" w:after="240"/>
        <w:rPr/>
      </w:pPr>
      <w:r>
        <w:rPr/>
        <w:t xml:space="preserve">Marketers will be an uncertain source of secondary market capacity.  In fact, they will be likely to have an interest in </w:t>
      </w:r>
      <w:r>
        <w:rPr>
          <w:i/>
        </w:rPr>
        <w:t xml:space="preserve">not </w:t>
      </w:r>
      <w:r>
        <w:rPr/>
        <w:t xml:space="preserve">selling summertime capacity.  It is likely to be better for marketers to sell to electric generators and other similarly situated noncore customers at the new citygates.  Ex. 102, at 24 (Yap).  This is what Dynegy did after it obtained a block of capacity on the El Paso system.  </w:t>
      </w:r>
    </w:p>
    <w:p>
      <w:pPr>
        <w:pStyle w:val="BodyText"/>
        <w:spacing w:before="0" w:after="240"/>
        <w:rPr/>
      </w:pPr>
      <w:r>
        <w:rPr/>
        <w:t xml:space="preserve">If the electric generators can get the capacity, the price may be high.  As discussed in detail in the complaint filed by this Commission in </w:t>
      </w:r>
      <w:r>
        <w:rPr>
          <w:u w:val="single"/>
        </w:rPr>
        <w:t>CPUC v. El Paso</w:t>
      </w:r>
      <w:r>
        <w:rPr/>
        <w:t xml:space="preserve"> at the FERC on April 4, 2000, the price of both secondary capacity and citygate gas can be manipulated by controlling only approximately 20 percent of the relevant capacity.  This was shown by an El Paso deal with Dynegy that preceded the El Paso Merchant contracts.  El Paso entered into an arrangement in October, 1997 to sell 1,261 MMcf/d of unsubscribed capacity rights to Natural Gas Clearinghouse ("NGC"), Dynegy's predecessor.  </w:t>
      </w:r>
      <w:r>
        <w:rPr>
          <w:u w:val="single"/>
        </w:rPr>
        <w:t>CPUC v. El Paso</w:t>
      </w:r>
      <w:r>
        <w:rPr/>
        <w:t xml:space="preserve"> Complaint, at 19.  The capacity acquired by NGC constituted approximately 20 percent of the 6,150 MMcf/d of pipeline capacity to southern California.  Ex. 28.  Between 1997 (prior to the El Paso-NGC/Dynegy contract) and 1998, the price of gas to California increased by $0.17/MMbtu.  </w:t>
      </w:r>
      <w:r>
        <w:rPr>
          <w:u w:val="single"/>
        </w:rPr>
        <w:t>CPUC v. El Paso</w:t>
      </w:r>
      <w:r>
        <w:rPr/>
        <w:t xml:space="preserve"> Complaint, at 21.  As this Commission noted in its Complaint, a January 11, 1999 Natural Gas Intelligence article observed that an "obvious reason" for the increase was "Dynegy's control of 1.3bcf/d of capacity on El Paso between the San Juan basin and the border."</w:t>
      </w:r>
    </w:p>
    <w:p>
      <w:pPr>
        <w:pStyle w:val="BodyText"/>
        <w:spacing w:before="0" w:after="240"/>
        <w:rPr/>
      </w:pPr>
      <w:r>
        <w:rPr/>
        <w:t xml:space="preserve">Additionally, the price of capacity was increased.  As the Commission noted in its </w:t>
      </w:r>
      <w:r>
        <w:rPr>
          <w:u w:val="single"/>
        </w:rPr>
        <w:t>CPUC v. El Paso</w:t>
      </w:r>
      <w:r>
        <w:rPr/>
        <w:t xml:space="preserve"> Complaint, while SoCalGas' capacity releases were at monthly rates between $0.84 and $3.50 per MMbtu in the years prior to the El Paso/NGC/Dynegy contract, SoCalGas' capacity releases were at monthly rates between $2.17 and $7.20 per MMbtu in 1999.  </w:t>
      </w:r>
      <w:r>
        <w:rPr>
          <w:u w:val="single"/>
        </w:rPr>
        <w:t>CPUC v. El Paso</w:t>
      </w:r>
      <w:r>
        <w:rPr/>
        <w:t xml:space="preserve"> Complaint, at 22.  </w:t>
      </w:r>
    </w:p>
    <w:p>
      <w:pPr>
        <w:pStyle w:val="BodyText"/>
        <w:spacing w:before="0" w:after="240"/>
        <w:rPr/>
      </w:pPr>
      <w:r>
        <w:rPr/>
        <w:t xml:space="preserve">The FERC has agreed with this Commission's view that marketers can increase the price of capacity by acquiring capacity and then withholding it from the market.  </w:t>
      </w:r>
      <w:r>
        <w:rPr>
          <w:u w:val="single"/>
        </w:rPr>
        <w:t>CPUC v. El Paso</w:t>
      </w:r>
      <w:r>
        <w:rPr/>
        <w:t xml:space="preserve"> Complaint, at 23, quoting </w:t>
      </w:r>
      <w:r>
        <w:rPr>
          <w:u w:val="single"/>
        </w:rPr>
        <w:t>El Paso Natural Gas Company</w:t>
      </w:r>
      <w:r>
        <w:rPr/>
        <w:t xml:space="preserve"> 90 FERC ¶ 61,050, at p.61,217 (January 19, 2000).  </w:t>
      </w:r>
    </w:p>
    <w:p>
      <w:pPr>
        <w:pStyle w:val="BodyText"/>
        <w:spacing w:before="0" w:after="240"/>
        <w:rPr/>
      </w:pPr>
      <w:r>
        <w:rPr/>
        <w:t>Under the Comprehensive Settlement open season,  a marketer could acquire the 20 percent of capacity that would permit the marketer to manipulate the market.  Given that 1,150 MMcf/d of capacity will be reserved for the third stage open season, and assuming that marketers and noncore customers split that capacity on approximately a 926/271 ratio as they did with Redwood Path capacity in the PG&amp;E open season, Ex. 101, at 12 (Weil), marketers would receive through the third stage of the initial open season approximately 890 MMcf/d of "backbone" capacity, more than 25 percent of SoCalGas' total "backbone" capacity.  Furthermore, marketers would hold 43 percent of the total open season capacity, 2066 MMcf/d.  Ex. 27.</w:t>
      </w:r>
    </w:p>
    <w:p>
      <w:pPr>
        <w:pStyle w:val="BodyText"/>
        <w:spacing w:before="0" w:after="240"/>
        <w:rPr/>
      </w:pPr>
      <w:r>
        <w:rPr/>
        <w:t>Insofar as under the Comprehensive Settlement, "Customers entitled to participate in the first and second stages [of the initial open season] may assign their rights to participate (such as a marketer)," a marketer could easily end up with more than 40 percent of the open season capacity and 20 percent of the total "backbone" capacity.  Ex. 1, at 15 (CSA § 1.1.3.6.1).  All the marketer would need to do is obtain assignments from customers which would be eligible to bid in the first two stages.  Holding such an amount of capacity would clearly give a marketer the opportunity to withhold capacity in the interest of driving up gas prices at the new citygates as well as the price of capacity on the secondary market.  EGs and other similarly situated customers would then either have to pay inflated commodity prices at the new citygates or inflated capacity prices on the secondary market.</w:t>
      </w:r>
    </w:p>
    <w:p>
      <w:pPr>
        <w:pStyle w:val="Heading3"/>
        <w:ind w:hanging="0" w:start="0"/>
        <w:rPr/>
      </w:pPr>
      <w:bookmarkStart w:id="31" w:name="__RefHeading___Toc487881543"/>
      <w:bookmarkEnd w:id="31"/>
      <w:r>
        <w:rPr/>
        <w:t>Customers that Require Highly Reliable Service Will Not Be Able to Rely on Interruptible Capacity.</w:t>
      </w:r>
    </w:p>
    <w:p>
      <w:pPr>
        <w:pStyle w:val="BodyText"/>
        <w:spacing w:before="0" w:after="240"/>
        <w:rPr/>
      </w:pPr>
      <w:r>
        <w:rPr/>
        <w:t>The Comprehensive Settlement supporters might claim that the risk of not being able to obtain capacity on the secondary market or, alternatively, being forced to pay inflated prices for either secondary market capacity or delivered gas can be avoided by taking interruptible capacity.  However, interruptible capacity is an inadequate substitute for firm capacity for customers such as EGs.  First, by definition, interruptible service is not firm, so it cannot suffice for a customer that requires reliability.  Second, insofar as SoCalGas is not required to make the interruptible capacity available, the capacity might not be available to EGs even if it were physically available.  Third, even if SoCalGas would voluntarily make the capacity available, its availability may be known only after the first nomination cycle, at which time its availability may be unhelpful for EGs that are crafting bids into the next day's wholesale electricity market.</w:t>
      </w:r>
    </w:p>
    <w:p>
      <w:pPr>
        <w:pStyle w:val="BodyText"/>
        <w:spacing w:before="0" w:after="240"/>
        <w:rPr/>
      </w:pPr>
      <w:r>
        <w:rPr/>
        <w:t>By unfairly restricting the ability of customers to bid for "backbone" capacity, the Comprehensive Settlement creates risks for customers that inevitably put their fate and their fortunes in the hands of marketers.  This is unfair to customers that have paid for the SoCalGas system over the years.  Ultimately, it will be likely to be unfair to California electricity ratepayer.</w:t>
      </w:r>
    </w:p>
    <w:p>
      <w:pPr>
        <w:pStyle w:val="Heading2"/>
        <w:tabs>
          <w:tab w:val="clear" w:pos="720"/>
        </w:tabs>
        <w:ind w:hanging="0" w:start="0"/>
        <w:rPr/>
      </w:pPr>
      <w:bookmarkStart w:id="32" w:name="__RefHeading___Toc487881544"/>
      <w:r>
        <w:rPr/>
        <w:t>The Comprehensive Settlement Violates the "Most Promising Options" Decision by Preventing Customers that Value Capacity the Most from Getting Capacity.</w:t>
      </w:r>
      <w:bookmarkEnd w:id="32"/>
      <w:r>
        <w:rPr/>
        <w:t xml:space="preserve">  </w:t>
      </w:r>
    </w:p>
    <w:p>
      <w:pPr>
        <w:pStyle w:val="BodyText"/>
        <w:spacing w:before="0" w:after="240"/>
        <w:rPr/>
      </w:pPr>
      <w:r>
        <w:rPr/>
        <w:t xml:space="preserve">In its "Most Promising Options" decision, D.99-07-015 (July 8, 1999), the Commission clearly indicated that if a system of firm intrastate capacity rights were created, customers should be allowed to bid for capacity in a manner that reflects the value they place on it.  The Commission stated in its decision: </w:t>
      </w:r>
    </w:p>
    <w:p>
      <w:pPr>
        <w:pStyle w:val="BlockText"/>
        <w:rPr/>
      </w:pPr>
      <w:r>
        <w:rPr/>
        <w:tab/>
        <w:t xml:space="preserve">SoCalGas and San Diego Gas &amp; Electric Company (SDG&amp;E) state that it could conceivably be beneficial to customers to create a system that would define firm intrastate transmission capacity rights to be held by customers/shippers, and that could be traded in a secondary market.  These companies recognize that such a change would allow customers to bid for capacity in a manner that reflects the value they place on it.  In addition, they acknowledge that such an approach would increase allocative efficiency and that it might also provide some economic signals related to the construction of new intrastate transmission facilities.  </w:t>
      </w:r>
    </w:p>
    <w:p>
      <w:pPr>
        <w:pStyle w:val="BlockText"/>
        <w:rPr/>
      </w:pPr>
      <w:r>
        <w:rPr/>
        <w:tab/>
        <w:t>We agree that the creation of firm, tradable intrastate transmission rights offers the hopes of achieving these objectives, as well as providing individual shippers with greater certainty as to their ability to move certain quantities of gas through the pipeline system.</w:t>
      </w:r>
    </w:p>
    <w:p>
      <w:pPr>
        <w:pStyle w:val="BodyTextNoIndent"/>
        <w:spacing w:before="0" w:after="240"/>
        <w:rPr/>
      </w:pPr>
      <w:r>
        <w:rPr/>
        <w:t>D.99-07-015, slip op. at 13-14.</w:t>
      </w:r>
    </w:p>
    <w:p>
      <w:pPr>
        <w:pStyle w:val="BodyText"/>
        <w:spacing w:before="0" w:after="240"/>
        <w:rPr/>
      </w:pPr>
      <w:r>
        <w:rPr/>
        <w:t xml:space="preserve">Likewise, the FERC has come to the conclusion that interstate pipelines should move beyond </w:t>
      </w:r>
      <w:r>
        <w:rPr>
          <w:i/>
        </w:rPr>
        <w:t>pro rata</w:t>
      </w:r>
      <w:r>
        <w:rPr/>
        <w:t xml:space="preserve"> allocation methodologies so as to allocate main line, receipt, and delivery point capacity on the basis of value: </w:t>
      </w:r>
    </w:p>
    <w:p>
      <w:pPr>
        <w:pStyle w:val="BlockText"/>
        <w:rPr/>
      </w:pPr>
      <w:r>
        <w:rPr/>
        <w:t xml:space="preserve">However, in recent years the Commission has required pipelines that utilize </w:t>
      </w:r>
      <w:r>
        <w:rPr>
          <w:u w:val="single"/>
        </w:rPr>
        <w:t>pro</w:t>
      </w:r>
      <w:r>
        <w:rPr/>
        <w:t xml:space="preserve"> </w:t>
      </w:r>
      <w:r>
        <w:rPr>
          <w:u w:val="single"/>
        </w:rPr>
        <w:t>rata</w:t>
      </w:r>
      <w:r>
        <w:rPr/>
        <w:t xml:space="preserve"> methods to allocate main line, receipt or delivery point capacity to convert to an allocation method based on the value of the capacity to the party acquiring it, an economically more efficient method of allocating the capacity.  </w:t>
      </w:r>
      <w:r>
        <w:rPr>
          <w:u w:val="single"/>
        </w:rPr>
        <w:t>See</w:t>
      </w:r>
      <w:r>
        <w:rPr/>
        <w:t xml:space="preserve"> </w:t>
      </w:r>
      <w:r>
        <w:rPr>
          <w:u w:val="single"/>
        </w:rPr>
        <w:t>e.g.</w:t>
      </w:r>
      <w:r>
        <w:rPr/>
        <w:t xml:space="preserve">, Northern Natural Gas Company, 62 FERC ¶ 61,075 at 61,428 (1993) ("[T]he Order No. 636 construct is driven, in part, by the principle that capacity should be awarded to the person who places the most value on the capacity.); Tennessee Gas Pipeline Company, 76 FERC ¶ 61,101 at 61,522 (1996); Texas Eastern Transmission Corporation, 79 FERC ¶ 61,258 at 62,109 (1997).  Capacity is thereby allocated to the shipper valuing it the most based on the shipper's perception of the market value for the delivered commodity, rather than on a </w:t>
      </w:r>
      <w:r>
        <w:rPr>
          <w:u w:val="single"/>
        </w:rPr>
        <w:t>pro</w:t>
      </w:r>
      <w:r>
        <w:rPr/>
        <w:t xml:space="preserve"> </w:t>
      </w:r>
      <w:r>
        <w:rPr>
          <w:u w:val="single"/>
        </w:rPr>
        <w:t>rata</w:t>
      </w:r>
      <w:r>
        <w:rPr/>
        <w:t xml:space="preserve"> basis.</w:t>
      </w:r>
    </w:p>
    <w:p>
      <w:pPr>
        <w:pStyle w:val="BodyTextNoIndent"/>
        <w:spacing w:before="0" w:after="240"/>
        <w:rPr/>
      </w:pPr>
      <w:r>
        <w:rPr>
          <w:u w:val="single"/>
        </w:rPr>
        <w:t>Amoco Energy Trading Corporation, Amoco Production Company, and Burlington Resources, Oil &amp; Gas Company v. El Paso Natural Gas Company</w:t>
      </w:r>
      <w:r>
        <w:rPr/>
        <w:t>, Order On Complaint and Establishing Procedures, slip op. at 11, 89 FERC ¶ 61,185 (November 10, 1999).</w:t>
      </w:r>
    </w:p>
    <w:p>
      <w:pPr>
        <w:pStyle w:val="BodyText"/>
        <w:spacing w:before="0" w:after="240"/>
        <w:rPr/>
      </w:pPr>
      <w:r>
        <w:rPr/>
        <w:t xml:space="preserve">The Comprehensive Settlement explicitly spurns the Commission's view that customers should be permitted to bid for and receive capacity on the basis of the value they place on it.  Price will not be used at all to determine winning bids.  Only the term that is bid will be used to determine which bids prevail over other bids: "Only the term bid will be used to determine which bids are awarded …."  Ex. 1, at 17 (CSA § 1.1.3.6.5).  If more volume is bid at the same term than is available, then there will be a </w:t>
      </w:r>
      <w:r>
        <w:rPr>
          <w:i/>
        </w:rPr>
        <w:t>pro rata</w:t>
      </w:r>
      <w:r>
        <w:rPr/>
        <w:t xml:space="preserve"> allocation among the bidders: "If more volume is bid for at the same term than is available for a particular receipt point, all such bidders will be awarded capacity on a basis </w:t>
      </w:r>
      <w:r>
        <w:rPr>
          <w:i/>
        </w:rPr>
        <w:t>pro rata</w:t>
      </w:r>
      <w:r>
        <w:rPr/>
        <w:t xml:space="preserve"> to the amounts they bid at that term for that point."  </w:t>
      </w:r>
      <w:r>
        <w:rPr>
          <w:u w:val="single"/>
        </w:rPr>
        <w:t>Id.</w:t>
      </w:r>
      <w:r>
        <w:rPr/>
        <w:t xml:space="preserve">  Thus, the Comprehensive Settlement adopts a scheme that specifically ignores price, </w:t>
      </w:r>
      <w:r>
        <w:rPr>
          <w:u w:val="single"/>
        </w:rPr>
        <w:t>i.e.</w:t>
      </w:r>
      <w:r>
        <w:rPr/>
        <w:t xml:space="preserve">, the value that customers may put on the capacity.  Price, instead, is fixed in the Comprehensive Settlement.  Ex. 1, at 13, 16 (CSA §§ 1.1.3.2, 1.1.3.5.1, 1.1.3.6.1).  </w:t>
      </w:r>
    </w:p>
    <w:p>
      <w:pPr>
        <w:pStyle w:val="BodyText"/>
        <w:spacing w:before="0" w:after="240"/>
        <w:rPr/>
      </w:pPr>
      <w:r>
        <w:rPr/>
        <w:t>The Comprehensive Settlement pre-open season and open season allocation scheme assures that customers that place a high value on capacity will not be able to get the capacity that they value.  Instead, they will be forced to take an allocation of capacity, with marketers getting the rest.    Secondary market capacity prices and delivered commodity prices will be determined solely by market demand.  Ex. 1, at 9-10 (CSA § 1.1.3.1).  The marketers will, thus, be guaranteed the spread between the regulated, Settlement-established price of the capacity and the unregulated price that they can get for the capacity or, in the alternative, gas delivered at the new citygate prices.</w:t>
      </w:r>
    </w:p>
    <w:p>
      <w:pPr>
        <w:pStyle w:val="BodyText"/>
        <w:spacing w:before="0" w:after="240"/>
        <w:rPr/>
      </w:pPr>
      <w:r>
        <w:rPr/>
        <w:t xml:space="preserve">Creating a structure that specifically, intentionally deprives customers of the ability to get the capacity that they need and then places that capacity in the hands of marketers with no cap on secondary market resale prices is a pure gift of economic rents to marketers at the expense of ratepayers.  This is an unconscionable transfer of wealth to competitors rather than facilitation of competition.  As Dr. Jeffrey J. Leitzinger and Mr. Steve Ostrover noted:  "The challenge will be to sort out proposals that promote competition from those that act instead to promote competitors at the expense of true competition." </w:t>
      </w:r>
      <w:r>
        <w:rPr>
          <w:u w:val="single"/>
        </w:rPr>
        <w:t>Energy Law Journal</w:t>
      </w:r>
      <w:r>
        <w:rPr/>
        <w:t xml:space="preserve">, </w:t>
      </w:r>
      <w:r>
        <w:rPr>
          <w:u w:val="single"/>
        </w:rPr>
        <w:t>Id.</w:t>
      </w:r>
      <w:r>
        <w:rPr/>
        <w:t xml:space="preserve">  By studiously avoiding the allocation of capacity on the basis of value, the Comprehensive Settlement supporters have developed a complex capacity allocation methodology that avoids competition in the interest of assuring profit to marketers.  The Comprehensive Settlement is exactly the sort of scheme against which Dr. Leitzinger and Mr. Ostrover cautioned in their article.</w:t>
      </w:r>
    </w:p>
    <w:p>
      <w:pPr>
        <w:pStyle w:val="Heading2"/>
        <w:tabs>
          <w:tab w:val="clear" w:pos="720"/>
        </w:tabs>
        <w:ind w:hanging="0" w:start="0"/>
        <w:rPr/>
      </w:pPr>
      <w:bookmarkStart w:id="33" w:name="__RefHeading___Toc487881545"/>
      <w:bookmarkEnd w:id="33"/>
      <w:r>
        <w:rPr/>
        <w:t>Unbundling of "Backbone" Capacity Results in the Imposition of Demand Charges Which Conflicts with Commission Policy, Shifts Risk from Shareholders to Ratepayers, and Imposes a Price Squeeze on Electric Generators.</w:t>
      </w:r>
    </w:p>
    <w:p>
      <w:pPr>
        <w:pStyle w:val="BodyText"/>
        <w:spacing w:before="0" w:after="240"/>
        <w:rPr/>
      </w:pPr>
      <w:r>
        <w:rPr/>
        <w:t xml:space="preserve">Under the Comprehensive Settlement, customers that acquire firm "backbone" transmission rights would pay either a 100 percent reservation charge set at $0.07191 per dth per year or a 50 percent reservation charge which would be based on a higher rate of $0.07591 per dth per year for 2000.  The rates would be escalated annually.  Ex. 1, at 10 (CSA § 1.1.3.2).  SoCalGas would also offer seasonal capacity with an even higher demand charge:  seasonal capacity would be based on 120 percent of the $0.07191 rate, as escalated, with a 100 percent reservation charge.  Ex. 1, at 16 (CSA § 1.1.3.6.1).  Thus, all customers that take firm backbone service would pay a demand charge going up to 120 percent of the SFV 100 percent reservation charge.  </w:t>
      </w:r>
    </w:p>
    <w:p>
      <w:pPr>
        <w:pStyle w:val="Heading3"/>
        <w:ind w:hanging="0" w:start="0"/>
        <w:rPr/>
      </w:pPr>
      <w:bookmarkStart w:id="34" w:name="__RefHeading___Toc487881546"/>
      <w:bookmarkEnd w:id="34"/>
      <w:r>
        <w:rPr/>
        <w:t>The Imposition of Demand Charges Conflicts with Established Commission Policy.</w:t>
      </w:r>
    </w:p>
    <w:p>
      <w:pPr>
        <w:pStyle w:val="BodyText"/>
        <w:spacing w:before="0" w:after="240"/>
        <w:rPr/>
      </w:pPr>
      <w:r>
        <w:rPr/>
        <w:t xml:space="preserve">The imposition of demand charges stands in stark contrast to Commission policy for the last decade.  In D.90-09-089 (September 25, 1990) and D.91-05-039 (May 22, 1991), the Commission eliminated demand charges for all noncore customers that were unaffiliated with California gas utilities.  That policy continues to be in effect for SoCalGas and was only recently reaffirmed in the Commission's decision in SoCalGas' last BCAP Decision, D.00-04-060 (April 20, 2000).  In fact, the Commission assured the comprehensiveness of the ban on demand charges in the last SoCalGas BCAP by finding that core subscription reservation charges should be set on an all-volumetric basis:  "An all volumetric reservation charge will provide a clear basis for a potential core subscription customer to understand the cost of the capacity associated with the services."  D.00-04-060, slip. op. at 152.  </w:t>
      </w:r>
    </w:p>
    <w:p>
      <w:pPr>
        <w:pStyle w:val="BodyText"/>
        <w:spacing w:before="0" w:after="240"/>
        <w:rPr/>
      </w:pPr>
      <w:r>
        <w:rPr/>
        <w:t>The most notable deviation from consistent support for all-volumetric rates for noncore customers occurred in the Commission's approval of the Gas Accord in D.97-08-055 (August 1, 1997), which permits customers to bid up to an SFV rate design for "backbone" capacity.  However, as explained by witnesses Florio and Weil, Ex. 101, at 5-13, the Gas Accord was designed to address very specific problems and circumstances that were unique to the PG&amp;E system and that do not exist on the SoCalGas system.  The problems included conflicts between ratepayer and shareholder interests, large differentials in prices of natural gas from various sources, and a system that operated quite similarly in many respects to a pipeline system rather than a local distribution company system.  Ex. 101, at 6-9.  Approval of the Gas Accord settlement, given the highly unique circumstances which surrounded it, should be considered to be a unique, nonprecedential, exception to a consistent decade-long Commission policy of supporting volumetric rates for noncore customers.</w:t>
      </w:r>
    </w:p>
    <w:p>
      <w:pPr>
        <w:pStyle w:val="Heading3"/>
        <w:ind w:hanging="0" w:start="0"/>
        <w:rPr/>
      </w:pPr>
      <w:bookmarkStart w:id="35" w:name="__RefHeading___Toc487881547"/>
      <w:bookmarkEnd w:id="35"/>
      <w:r>
        <w:rPr/>
        <w:t>The Proposed SFV Rate Conflicts with Commission Opposition to SFV Rates for Interstate Pipelines at the FERC.</w:t>
      </w:r>
    </w:p>
    <w:p>
      <w:pPr>
        <w:pStyle w:val="BodyText"/>
        <w:spacing w:before="0" w:after="240"/>
        <w:rPr/>
      </w:pPr>
      <w:r>
        <w:rPr/>
        <w:t xml:space="preserve">Approval of rates based on an SFV rate design conflicts with the Commission's arguments against SFV rates at the FERC.  In the Commission's May 1, 1991 comments in FERC Docket Nos. RM91-11-00, RM91-3-000, and RM90-15-000, the Commission argued (at 11):  "There are many reasons why the FERC should not switch to a full fixed variable rate design."  The Commission told the FERC that it "strongly opposes the reclassification of costs between commodity charges and demand charges, since the reclassification would undermine the competitive forces which the FERC had attempted to promote in order to make the interstate pipelines operate efficiently and to keep natural gas prices low without regulation."  </w:t>
      </w:r>
      <w:r>
        <w:rPr>
          <w:u w:val="single"/>
        </w:rPr>
        <w:t>Id.</w:t>
      </w:r>
      <w:r>
        <w:rPr/>
        <w:t xml:space="preserve">, Comments of the Public Utilities Commission of the State of California on Rate Design Policy Issues, FERC Docket No. PL89-2-005, at 3-4 (Jan. 17, 1991).  "It is only the commodity charges of the pipeline where competitive pressures can be felt."  </w:t>
      </w:r>
      <w:r>
        <w:rPr>
          <w:u w:val="single"/>
        </w:rPr>
        <w:t>Id.</w:t>
      </w:r>
    </w:p>
    <w:p>
      <w:pPr>
        <w:pStyle w:val="BodyText"/>
        <w:spacing w:before="0" w:after="240"/>
        <w:rPr/>
      </w:pPr>
      <w:r>
        <w:rPr/>
        <w:t xml:space="preserve">Likewise, the Commission told the FERC:  "The FERC should not adopt a straight fixed variable rate design, because pipelines would no longer have as much incentive to compete and to operate as efficiently."  Comments of the Public Utilities Commission of the State of California on Pipeline Service Obligations and Related Transportation Issues, FERC Docket No. RM91-11-000, at 3 (Oct. 11, 1991).  With an SFV rate design, "the pipeline is nearly completely insulated from short-term competitive pressures and, as a result, has less of an incentive to operate efficiently."  </w:t>
      </w:r>
      <w:r>
        <w:rPr>
          <w:u w:val="single"/>
        </w:rPr>
        <w:t>Id.</w:t>
      </w:r>
      <w:r>
        <w:rPr/>
        <w:t xml:space="preserve"> at 23.  The Commission recommended:  "In view of the above, the FERC's final rules should not require a switch to an SFV rate design."  </w:t>
      </w:r>
      <w:r>
        <w:rPr>
          <w:u w:val="single"/>
        </w:rPr>
        <w:t>Id.</w:t>
      </w:r>
      <w:r>
        <w:rPr/>
        <w:t xml:space="preserve"> at 25.  </w:t>
      </w:r>
    </w:p>
    <w:p>
      <w:pPr>
        <w:pStyle w:val="BodyText"/>
        <w:spacing w:before="0" w:after="240"/>
        <w:rPr/>
      </w:pPr>
      <w:r>
        <w:rPr/>
        <w:t>In its application for rehearing of the FERC's Order No. 636 (April 8, 1992), the Commission reiterated its opposition to SFV rates, commenting:  "By switching to SFV, market forces would no longer drive the transportation rates of pipelines down, because demand charge treatment would insulate pipelines in this regard."  "Request for Rehearing of the Public Utilities Commission of the State of California, FERC Docket No. RM 91-11-000, at 9 (May 7, 1992).</w:t>
      </w:r>
    </w:p>
    <w:p>
      <w:pPr>
        <w:pStyle w:val="BodyText"/>
        <w:spacing w:before="0" w:after="240"/>
        <w:rPr/>
      </w:pPr>
      <w:r>
        <w:rPr/>
        <w:t xml:space="preserve">The CPUC continued its attack on SFV rates in its September 11, 1995 brief in the United States Court of Appeals for the District of Columbia Circuit in </w:t>
      </w:r>
      <w:r>
        <w:rPr>
          <w:u w:val="single"/>
        </w:rPr>
        <w:t>United Distribution Companies, et al. v. FERC</w:t>
      </w:r>
      <w:r>
        <w:rPr/>
        <w:t xml:space="preserve">, Case No. 92-1485, </w:t>
      </w:r>
      <w:r>
        <w:rPr>
          <w:u w:val="single"/>
        </w:rPr>
        <w:t>et</w:t>
      </w:r>
      <w:r>
        <w:rPr/>
        <w:t xml:space="preserve"> </w:t>
      </w:r>
      <w:r>
        <w:rPr>
          <w:u w:val="single"/>
        </w:rPr>
        <w:t>al</w:t>
      </w:r>
      <w:r>
        <w:rPr/>
        <w:t xml:space="preserve">.  The CPUC joined other state commissions in arguing:  "SFV rate design results in short-run distortions by eliminating all fixed costs from firm commodity rates, as contrasted with interruptible transportation rates based on fully allocated costs."  </w:t>
      </w:r>
      <w:r>
        <w:rPr>
          <w:u w:val="single"/>
        </w:rPr>
        <w:t>Id.</w:t>
      </w:r>
      <w:r>
        <w:rPr/>
        <w:t xml:space="preserve"> at 12.  The CPUC and the other commissions contended "that SFV rate design eliminates pipeline efficiency incentives." </w:t>
      </w:r>
      <w:r>
        <w:rPr>
          <w:u w:val="single"/>
        </w:rPr>
        <w:t>Id.</w:t>
      </w:r>
      <w:r>
        <w:rPr/>
        <w:t xml:space="preserve"> at 10.  Additionally, the Commission stated:  "FERC's refusal to require reductions in returns in connection with implementation of SFV rates reflects an unexplained departure from prior decisions imposing a 25 basis point reduction in returns to reflect the low risk of SFV."  </w:t>
      </w:r>
      <w:r>
        <w:rPr>
          <w:u w:val="single"/>
        </w:rPr>
        <w:t>Id.</w:t>
      </w:r>
      <w:r>
        <w:rPr/>
        <w:t xml:space="preserve"> at 13.  Thus, the Commission has a long history of opposing SFV rates as well as maintaining all-volumetric rates on the SoCalGas system.  </w:t>
      </w:r>
    </w:p>
    <w:p>
      <w:pPr>
        <w:pStyle w:val="Heading3"/>
        <w:ind w:hanging="0" w:start="0"/>
        <w:rPr>
          <w:b w:val="false"/>
        </w:rPr>
      </w:pPr>
      <w:bookmarkStart w:id="36" w:name="__RefHeading___Toc487881548"/>
      <w:bookmarkEnd w:id="36"/>
      <w:r>
        <w:rPr>
          <w:b w:val="false"/>
        </w:rPr>
        <w:t>Demand Charges Would Shift Risk from SoCalGas to Ratepayers.</w:t>
      </w:r>
    </w:p>
    <w:p>
      <w:pPr>
        <w:pStyle w:val="BodyText"/>
        <w:spacing w:before="0" w:after="240"/>
        <w:rPr/>
      </w:pPr>
      <w:r>
        <w:rPr/>
        <w:t>Imposing a demand charge would shift risk of revenue recovery from shareholders to ratepayers.  Under the Commission's recent decision in the SoCalGas 1999 BCAP, the Commission adopted an all</w:t>
        <w:noBreakHyphen/>
        <w:t>volumetric rate design for noncore customers with 75/25 (ratepayer/shareholder) balancing account treatment for noncore revenues.  Thus, shareholders bear 25 percent of the risk or reward associated with decreases or increases in noncore throughput over forecasted volumes.  The Comprehensive Settlement demand charges would change that.  In fact, they would create an opportunity for SoCalGas to over</w:t>
        <w:noBreakHyphen/>
        <w:t>recover its "backbone" transmission revenue requirement.</w:t>
      </w:r>
    </w:p>
    <w:p>
      <w:pPr>
        <w:pStyle w:val="BodyText"/>
        <w:spacing w:before="0" w:after="240"/>
        <w:rPr/>
      </w:pPr>
      <w:r>
        <w:rPr/>
        <w:t>Under the Comprehensive Settlement, given that rates would be designed at a 79 percent load factor, Ex. 1, at 10 (CSA § 1.1.3.2), SoCalGas only has to obtain reservations for 79 percent of its capacity under an SFV demand charge structure to be assured that it will collect 100 percent of its revenue requirement.  Further, SoCalGas is positioned to collect nearly 125 percent of its authorized revenue requirement if it is able to subscribe more than 79 percent of its capacity at SFV rates.  Additionally, since SoCalGas would be permitted to exclude its "backbone" revenues from the PBR sharing mechanism under the Comprehensive Settlement, shareholders would keep all of the excess revenue without sharing with ratepayers.</w:t>
      </w:r>
    </w:p>
    <w:p>
      <w:pPr>
        <w:pStyle w:val="BodyText"/>
        <w:spacing w:before="0" w:after="240"/>
        <w:rPr/>
      </w:pPr>
      <w:r>
        <w:rPr/>
        <w:t>It is easy to imagine SoCalGas obtaining subscriptions to all its capacity.  One thousand MMcf/d of the 3,500 available capacity is pre-assigned to the Gas Acquisition Department, and 60 MMcf/d is pre-assigned to SDG&amp;E.  Ex. 27.  Additionally, 130 MMcf/d is reserved for producers, and long-term contract holders are given a right to take 81 MMcf/d at specific receipt points.  Ex. 27.  It is conservatively assumed that CTAs would take 47 MMcf/d, and wholesale customers other than SDG&amp;E would take 47 MMcf/d as a pre-open season allocation.  Ex. 27.  Thus, 1,365 MMcf/d is set aside before commencement of the open season.  If enhanced oil recovery ("EOR") customers take subscriptions during the open season that equal their demand of approximately 110 MMcf/d in capacity, and EGs manage to obtain 1,160 MMcf/d, just 75 percent of their peak requirement, SoCalGas would have sold 2,635 MMcf/d of firm capacity.  That would be enough to permit SoCalGas to recover close to 100 percent of its revenue requirement at the SFV rates, $0.0719 per dth, without a single marketer or noncore customer other than EORs and EGs taking a reservation.</w:t>
      </w:r>
    </w:p>
    <w:p>
      <w:pPr>
        <w:pStyle w:val="BodyText"/>
        <w:spacing w:before="0" w:after="240"/>
        <w:rPr>
          <w:b/>
        </w:rPr>
      </w:pPr>
      <w:r>
        <w:rPr/>
        <w:t xml:space="preserve">Even if customers elect to take the optional 50/50 demand/volumetric rate design permitted by the Comprehensive Settlement, Ex. 1, at 13 (CSA § 1.1.3.5.1) SoCalGas would still be likely to fully recover its revenue requirement and then some.  Given that the total charge under the 50/50 rate design, $0.07591 per dth, is calculated to give SoCalGas a premium over the SFV rate, if SoCalGas has 90 to 100 percent of its capacity reserved, it will have 57 to 63 percent of its revenue guaranteed through reservation charges with potentially another 50 percent potentially being recovered through volumetric charges.  Hence, under the 50/50 option, SoCalGas has the potential to make 107 to 113 percent of its "backbone" revenue requirement even if all customers opt to pay the 50/50 demand/volumetric rate.  Ex. 102, at 19 (Yap).  </w:t>
      </w:r>
    </w:p>
    <w:p>
      <w:pPr>
        <w:pStyle w:val="Heading3"/>
        <w:ind w:hanging="0" w:start="0"/>
        <w:rPr>
          <w:b w:val="false"/>
        </w:rPr>
      </w:pPr>
      <w:bookmarkStart w:id="37" w:name="__RefHeading___Toc487881549"/>
      <w:bookmarkEnd w:id="37"/>
      <w:r>
        <w:rPr>
          <w:b w:val="false"/>
        </w:rPr>
        <w:t>Demand Charges Raise Unit Costs for Low Load Factor Customers.</w:t>
      </w:r>
    </w:p>
    <w:p>
      <w:pPr>
        <w:pStyle w:val="BodyText"/>
        <w:spacing w:before="0" w:after="240"/>
        <w:rPr/>
      </w:pPr>
      <w:r>
        <w:rPr/>
        <w:t>A demand charge rate structure can be onerous for a low load factor customer.  Demand charges can dramatically increase the actually experienced unit cost of gas transmission service.  For example, a customer with a load factor of 65 percent would face an increase of approximately 54 percent under an SFV rate design or an increase of about 34 percent under the proposed 50/50 demand/volumetric rate design if the customer were to subscribe to capacity for its full requirements.  A customer with a lower load factor such as 30 percent could face a trebling of the actually experienced unit cost of gas transmission service under the SFV rate design and a doubling of the unit cost under the 50/50 rate design.  Ex. 102, at 20 (Yap).</w:t>
      </w:r>
    </w:p>
    <w:p>
      <w:pPr>
        <w:pStyle w:val="BodyText"/>
        <w:spacing w:before="0" w:after="240"/>
        <w:rPr/>
      </w:pPr>
      <w:r>
        <w:rPr/>
        <w:t>EG customers are very low load factor customers, having an average load factor of approximately 30 percent over the last five years.  Ex. 102, at 21 (Yap).  Thus, the unit cost of "backbone" transmission service for 30 percent load factor EG customers would rise from approximately 7.2¢ per dth to nearly 24¢ per dth under the SFV rate design, 16.5¢ per dth under the 50/50 demand/volumetric rate design, and 22¢ under the proposed seasonal SFV rate design.  Ex. 102, at 21 (Yap).  Faced with these rate alternatives for "backbone" service, marketers would be able to charge EG customers up to nearly 16¢ per dth and still undercut the SFV and 50/50 rates on a unit cost basis.  But then electric generators would have been forced to pay more than twice the just and reasonable 7.2¢ per dth SFV rate for transportation service.</w:t>
      </w:r>
    </w:p>
    <w:p>
      <w:pPr>
        <w:pStyle w:val="BodyText"/>
        <w:spacing w:before="0" w:after="240"/>
        <w:rPr/>
      </w:pPr>
      <w:r>
        <w:rPr/>
        <w:t>The Comprehensive Settlement supporters may retort that low load factor customers would be able to mitigate this sort of increase in effective unit costs by selling unused capacity in the secondary market.  However, if the PG&amp;E experience is an indication, the majority of capacity outside of the core reservation is likely to be held by marketers.  If so, the secondary market would be likely to be thinly traded and potentially controlled by marketers with complex agendas.</w:t>
      </w:r>
    </w:p>
    <w:p>
      <w:pPr>
        <w:pStyle w:val="BodyText"/>
        <w:spacing w:before="0" w:after="240"/>
        <w:rPr/>
      </w:pPr>
      <w:r>
        <w:rPr/>
        <w:t>For example, it is easy to construct a scenario in which marketers would not buy unused winter capacity from low load factor EG customers.  Marketers make money from their sales of bundled gas supplies.  As learned from NGC/Dynegy experience on the El Paso system, marketers can make more money from bundled sales when capacity is constrained.  Thus, if marketers are effectively the only entities available to buy brokered capacity from EG customers which are trying to lay off capacity during the winter, the marketers may very well decline to buy the capacity.  Letting the capacity languish on the secondary market is as good as keeping it out of circulation, and keeping the capacity out of circulation helps drive up delivered gas costs, to the benefit of marketers.  Thus, the Comprehensive Settlement may put EGs in the untenable position of being unable to get the capacity they need in the summer while being unable to lay off excess capacity in the winter.  Ex. 102, at 24 (Yap).</w:t>
      </w:r>
    </w:p>
    <w:p>
      <w:pPr>
        <w:pStyle w:val="Heading3"/>
        <w:ind w:hanging="0" w:start="0"/>
        <w:rPr/>
      </w:pPr>
      <w:bookmarkStart w:id="38" w:name="__RefHeading___Toc487881550"/>
      <w:bookmarkEnd w:id="38"/>
      <w:r>
        <w:rPr>
          <w:b w:val="false"/>
        </w:rPr>
        <w:t>A Demand Charge Structure Imposes a Price Squeeze on EG Customers.</w:t>
      </w:r>
    </w:p>
    <w:p>
      <w:pPr>
        <w:pStyle w:val="BodyText"/>
        <w:spacing w:before="0" w:after="240"/>
        <w:rPr/>
      </w:pPr>
      <w:r>
        <w:rPr/>
        <w:t>In addition to increasing the unit costs of transmission service for EGs, demand charges would create a price squeeze for EG customers.  To the extent to which operating costs are included in a demand charge, they are converted into being sunk costs, as this Commission told the FERC:  "Costs allocated to and recovered in demand charges or reservation charges of firm sales customers or firm transportation customers are treated by the industry as sunk costs."  Comments of the Public Utilities of the State of California on Pipeline Service Obligations and Related Transportation Issues,</w:t>
      </w:r>
      <w:r>
        <w:rPr>
          <w:i/>
        </w:rPr>
        <w:t xml:space="preserve"> </w:t>
      </w:r>
      <w:r>
        <w:rPr/>
        <w:t>FERC Docket No. RM 91-11-000, at 23 (October 15, 1991).  Thus, at the same time that demand charges are dramatically increasing EG customers' unit operating costs, demand charges will prevent a price signal from being sent to the electricity marketplace that the EGs are facing higher unit operating costs.</w:t>
      </w:r>
    </w:p>
    <w:p>
      <w:pPr>
        <w:pStyle w:val="BodyText"/>
        <w:spacing w:before="0" w:after="240"/>
        <w:rPr/>
      </w:pPr>
      <w:r>
        <w:rPr/>
        <w:t>During the vast majority of the hours of the year, the PX price is determined by the running costs of the marginal units taken by the PX.  F. Wolak, R. Nordhaus, and C. Shapiro, The Competitiveness of the California Energy and Ancillary Services Markets, at 4 (March 9, 2000) (available at caiso.com).  Since demand charges are not included in a generator's running or variable costs, charging demand charges for backbone transmission service will tend to remove those costs from the running costs that are reflected in the PX price.  Thus, demand charges for gas transmission service may result in lower electricity prices, while paradoxically the actual unit operating costs being experienced by a marginal electric generator are  actually being dramatically increased.  The result is a price squeeze on low load factor generators.  Ex. 101, at 21; Ex. 102, at 21 (Yap).</w:t>
      </w:r>
    </w:p>
    <w:p>
      <w:pPr>
        <w:pStyle w:val="BodyText"/>
        <w:spacing w:before="0" w:after="240"/>
        <w:rPr/>
      </w:pPr>
      <w:r>
        <w:rPr/>
        <w:t>The price squeeze has further implications for generators.  Increased fixed costs, particularly when they have the paradoxical effect of lowering market price for the electric generator's product, electricity, raises risk for investors.  That has the corollary effect of driving up the cost of capital for generators.  Thus, demand charges have a multiplier effect on costs for generators.</w:t>
      </w:r>
    </w:p>
    <w:p>
      <w:pPr>
        <w:pStyle w:val="Heading4"/>
        <w:tabs>
          <w:tab w:val="clear" w:pos="720"/>
        </w:tabs>
        <w:ind w:hanging="0" w:start="0"/>
        <w:rPr/>
      </w:pPr>
      <w:r>
        <w:rPr/>
        <w:t>The Revenues Needed to Offset the Increased Unit Costs Cannot Be Found Elsewhere by EGs.</w:t>
      </w:r>
    </w:p>
    <w:p>
      <w:pPr>
        <w:pStyle w:val="BodyText"/>
        <w:spacing w:before="0" w:after="240"/>
        <w:rPr/>
      </w:pPr>
      <w:r>
        <w:rPr/>
        <w:t>Electric generators cannot count on making up elsewhere the revenue needed to offset the increased unit cost of gas transmission service that will be experienced as a result of being subject to demand charges.  The California ISO extends Reliability Must Run ("RMR") contracts to certain units that the ISO deems to be critical for the reliable operation of the grid and permits RMR units to have at least part of their fixed costs recovered through an RMR contract.  Ex. 101, at 22.  However, generators in the Los Angeles Basin have little opportunity to operate as RMR units, given that less than 20 percent of the available capacity in the area is needed for RMR purposes.  Ex. 101, at 22 (Yap).</w:t>
      </w:r>
    </w:p>
    <w:p>
      <w:pPr>
        <w:pStyle w:val="BodyText"/>
        <w:spacing w:before="0" w:after="240"/>
        <w:rPr/>
      </w:pPr>
      <w:r>
        <w:rPr/>
        <w:t xml:space="preserve">The alternative for generators is to charge very high prices for capacity under conditions of very high levels of demand.  However, the California ISO has imposed price caps ranging from $250 per megawatt hour ("mwh") to $750 per mwh.  On June 28, 2000, the ISO established a cap of $500 per mwh for the current period.  </w:t>
      </w:r>
      <w:r>
        <w:rPr>
          <w:u w:val="single"/>
        </w:rPr>
        <w:t>See</w:t>
      </w:r>
      <w:r>
        <w:rPr/>
        <w:t xml:space="preserve"> caiso.com.  Given that prices will be driven to cap levels in only a few hours of the summer, imposing caps during these hours significantly reduces generators' ability to recover annual fixed costs.  </w:t>
      </w:r>
      <w:r>
        <w:rPr>
          <w:u w:val="single"/>
        </w:rPr>
        <w:t>Id.</w:t>
      </w:r>
      <w:r>
        <w:rPr/>
        <w:t xml:space="preserve">  Thus, ISO price caps increase the degree to which generators must depend on the prices that they charge for sales into the PX or the ancillary services market during off-peak or shoulder periods to recover their costs.  However, it is precisely during those periods that the running costs of gas-fired generators are likely to be the determinant of PX prices.  It is during those periods that imposing demand charges for backbone transmission service will reduce running costs, hence, electricity prices, while paradoxically increasing generators' actually experienced unit operating costs.</w:t>
      </w:r>
    </w:p>
    <w:p>
      <w:pPr>
        <w:pStyle w:val="Heading4"/>
        <w:tabs>
          <w:tab w:val="clear" w:pos="720"/>
        </w:tabs>
        <w:ind w:hanging="0" w:start="0"/>
        <w:rPr/>
      </w:pPr>
      <w:r>
        <w:rPr/>
        <w:t>The Price Squeeze Could Put Marginal Generator Units at Risk of Closure.</w:t>
      </w:r>
    </w:p>
    <w:p>
      <w:pPr>
        <w:pStyle w:val="BodyText"/>
        <w:spacing w:before="0" w:after="240"/>
        <w:rPr/>
      </w:pPr>
      <w:r>
        <w:rPr/>
        <w:t>If generators are repeatedly subjected to a price squeeze between rising unit costs and falling electricity prices during off-peak and shoulder periods, and they are unable to recover the increased unit operating costs at other times as either RMR units or during periods of high demand, investors will be forced to consider closing plants and liquidating the assets.  Ex. 101, at 23 (Yap).  Furthermore, the price squeeze could slow the entry of new generation into the market.  Ex. 102, at 21 (Yap).</w:t>
      </w:r>
    </w:p>
    <w:p>
      <w:pPr>
        <w:pStyle w:val="BodyText"/>
        <w:spacing w:before="0" w:after="240"/>
        <w:rPr/>
      </w:pPr>
      <w:r>
        <w:rPr/>
        <w:t xml:space="preserve">EG customers in the Los Angeles Basin represent approximately 14,000 megawatts of generating capacity, which represents about 28 percent of the total statewide capacity.  The SCGC members alone represent approximately 12,000 megawatts of that capacity.  Ex. 110.  There have already been, at this writing, several stage one emergencies and stage two emergencies declared by the California ISO.  </w:t>
      </w:r>
      <w:r>
        <w:rPr>
          <w:u w:val="single"/>
        </w:rPr>
        <w:t>See</w:t>
      </w:r>
      <w:r>
        <w:rPr/>
        <w:t xml:space="preserve">, </w:t>
      </w:r>
      <w:r>
        <w:rPr>
          <w:u w:val="single"/>
        </w:rPr>
        <w:t>e.g.</w:t>
      </w:r>
      <w:r>
        <w:rPr/>
        <w:t>, Appendix A.  Adoption of the demand charge scheme associated with unbundling "backbone" transmission may put at least some of the marginal Los Angeles Basin capacity at risk, potentially creating severe problems for the reliability of the California electricity system.</w:t>
      </w:r>
    </w:p>
    <w:p>
      <w:pPr>
        <w:pStyle w:val="Heading2"/>
        <w:tabs>
          <w:tab w:val="clear" w:pos="720"/>
        </w:tabs>
        <w:ind w:hanging="0" w:start="0"/>
        <w:rPr/>
      </w:pPr>
      <w:bookmarkStart w:id="39" w:name="__RefHeading___Toc487881551"/>
      <w:bookmarkEnd w:id="39"/>
      <w:r>
        <w:rPr/>
        <w:t>The Comprehensive Settlement Would Harm Core Customers by Reducing Their Flexibility to Use Transmission Capacity, Thereby Raising Core Costs.</w:t>
      </w:r>
    </w:p>
    <w:p>
      <w:pPr>
        <w:pStyle w:val="BodyText"/>
        <w:spacing w:before="0" w:after="240"/>
        <w:rPr/>
      </w:pPr>
      <w:r>
        <w:rPr/>
        <w:t>The Comprehensive Settlement would eliminate the flexibility that the core currently enjoys and replace it with a system of reserve "backbone" capacity rights.  The result of losing flexibility would be likely to be greater costs for gas, for transmission service, or for both.  Thus, the unbundling of "backbone" transmission in the Comprehensive Settlement represents a step backward for the core.</w:t>
      </w:r>
    </w:p>
    <w:p>
      <w:pPr>
        <w:pStyle w:val="BodyText"/>
        <w:spacing w:before="0" w:after="240"/>
        <w:rPr/>
      </w:pPr>
      <w:r>
        <w:rPr/>
        <w:t>Today, the core enjoys great flexibility.  The core (including both the bundled core and the CTA core) pays a margin contribution toward SoCalGas' transmission revenue requirement that is based upon the core's cold-year throughput, which in the most recent BCAP was projected to be approximately 1,022 MMcf/d.  D.00-04-060, slip. op. at App. D, Table 11, p. 1.  However, if the core needs flowing supplies of up to 1,350 MMcf/d or higher, it can obtain the supplies simply by nominating them for delivery into the SoCalGas system.</w:t>
      </w:r>
    </w:p>
    <w:p>
      <w:pPr>
        <w:pStyle w:val="BodyText"/>
        <w:spacing w:before="0" w:after="240"/>
        <w:rPr/>
      </w:pPr>
      <w:r>
        <w:rPr/>
        <w:t>This can certainly occur.  For example, in 1999, the core needed in excess of 1,000 MMcf/d in flowing supplies during nearly 130 days.  Of these days, eight days required supplies in excess of 1,300 MMcf/d, 21 days required supplies between 1,200 and 1,300 MMcf/d, 61 days required supplies between 1,100 and 1,200 MMcf/d, and another 39 days required supplies between 1,000 and 1,100 MMcf/d.  Ex. 102, at 26 (Yap).</w:t>
      </w:r>
    </w:p>
    <w:p>
      <w:pPr>
        <w:pStyle w:val="BodyText"/>
        <w:spacing w:before="0" w:after="240"/>
        <w:rPr/>
      </w:pPr>
      <w:r>
        <w:rPr/>
        <w:t>The Comprehensive Settlement splits the core's reservation of "backbone" transmission so that the bundled core gets 1,000 MMcf/d and the CTAs get their own capacity.  The Comprehensive Settlement supporters spuriously tout this as reducing core costs when, in fact, they have only divided the costs between the bundled core and the CTA core.  The Comprehensive Settlement does not take into account the potential increase in costs that could be faced by the core as the result of the loss of the current flexibility.</w:t>
      </w:r>
    </w:p>
    <w:p>
      <w:pPr>
        <w:pStyle w:val="BodyText"/>
        <w:spacing w:before="0" w:after="240"/>
        <w:rPr/>
      </w:pPr>
      <w:r>
        <w:rPr/>
        <w:t>Under the Comprehensive Settlement, using the 1999 operating data as an illustration, the core could face up to 130 days out of the year during which it would need to purchase up to 350 MMcf/d in flowing supplies on an as-available basis at the citygate from marketers.  Alternatively, the core would need to buy "backbone" transmission capacity from the secondary markets.  Given that the core's loads are driven by heating requirements, the core would need to purchase additional gas supplies or transmission capacity during expensive high-demand periods.  It is precisely during such high demand periods that the FERC observed that marketers tend to charge a premium for gas supplies bundled with transportation or for transmission capacity.  Order 637, RM98-10-000, slip op. at 58 (February 25, 2000).  The cost of purchasing either commodity at the new citygates or "backbone" transmission on the secondary market could dramatically increase the core's costs.</w:t>
      </w:r>
    </w:p>
    <w:p>
      <w:pPr>
        <w:pStyle w:val="Heading2"/>
        <w:tabs>
          <w:tab w:val="clear" w:pos="720"/>
        </w:tabs>
        <w:ind w:hanging="0" w:start="0"/>
        <w:rPr/>
      </w:pPr>
      <w:bookmarkStart w:id="40" w:name="__RefHeading___Toc487881552"/>
      <w:bookmarkEnd w:id="40"/>
      <w:r>
        <w:rPr/>
        <w:t>The Benefits of the Comprehensive Settlement Are Illusory.</w:t>
      </w:r>
    </w:p>
    <w:p>
      <w:pPr>
        <w:pStyle w:val="BodyText"/>
        <w:spacing w:before="0" w:after="240"/>
        <w:rPr/>
      </w:pPr>
      <w:r>
        <w:rPr/>
        <w:t>The benefits that the Comprehensive Settlement supporters claim will flow from the Settlement either would result from adopting the Interim and Post-Interim Settlements or would not occur.  The Interim and Post-Interim Settlements would eliminate the current SoCalGas windowing process, establish fixed receipt point capacities, establish pooling, and establish Hector Road as a formal receipt point.  The Comprehensive Settlement is not needed to accomplish any of those reforms.  On the other hand, the Comprehensive Settlement would create a new downstream citygate market which would be likely to be less competitive and, accordingly, higher priced than the existing citygate market due to the dramatic reduction in slack capacity that assures effective gas-on-gas competition.</w:t>
      </w:r>
    </w:p>
    <w:p>
      <w:pPr>
        <w:pStyle w:val="BodyText"/>
        <w:spacing w:before="0" w:after="240"/>
        <w:rPr/>
      </w:pPr>
      <w:r>
        <w:rPr/>
        <w:t>Furthermore, the Comprehensive Settlement would increase customers' costs.  In addition to having to bear increased costs for capacity to the extent to which they are low load factor customers, customers would be forced to absorb the cost associated with rebundling services.  Either they will have to add personnel, or at least personnel hours, in order to deal with the additional complexities that would result from adoption of the Comprehensive Settlement, or customers would be forced to pay marketers a premium to rebundle services for them.  Ex. 101, at 18 (Yap).</w:t>
      </w:r>
    </w:p>
    <w:p>
      <w:pPr>
        <w:pStyle w:val="BodyText"/>
        <w:spacing w:before="0" w:after="240"/>
        <w:rPr/>
      </w:pPr>
      <w:r>
        <w:rPr/>
        <w:t>In sum, the Comprehensive Settlement's unbundling of "backbone" transmission capacity offers no benefits beyond those offered by the Interim and Post-Interim Settlements while having a myriad of profoundly negative effects that would not result from adoption of the Interim and Post-Interim Settlements.</w:t>
      </w:r>
    </w:p>
    <w:p>
      <w:pPr>
        <w:pStyle w:val="Heading1"/>
        <w:tabs>
          <w:tab w:val="clear" w:pos="720"/>
        </w:tabs>
        <w:ind w:hanging="0" w:start="0"/>
        <w:rPr/>
      </w:pPr>
      <w:bookmarkStart w:id="41" w:name="__RefHeading___Toc487881553"/>
      <w:bookmarkEnd w:id="41"/>
      <w:r>
        <w:rPr/>
        <w:t>Storage:  The Interim and Post-Interim Settlements Reduce Rates and Risk for Customers While the Comprehensive Settlement Imposes New Risks of Higher Costs</w:t>
      </w:r>
      <w:r>
        <w:rPr>
          <w:u w:val="none"/>
        </w:rPr>
        <w:t>.</w:t>
      </w:r>
    </w:p>
    <w:p>
      <w:pPr>
        <w:pStyle w:val="BodyText"/>
        <w:spacing w:before="0" w:after="240"/>
        <w:rPr/>
      </w:pPr>
      <w:r>
        <w:rPr/>
        <w:t>There are several primary issues involving storage.  Three are primarily core issues while three issues are primarily noncore issues.  The three issues that are of concern primarily to core customers are the following:</w:t>
      </w:r>
    </w:p>
    <w:p>
      <w:pPr>
        <w:pStyle w:val="ListBullet21"/>
        <w:numPr>
          <w:ilvl w:val="0"/>
          <w:numId w:val="9"/>
        </w:numPr>
        <w:spacing w:before="0" w:after="240"/>
        <w:ind w:hanging="0" w:start="0"/>
        <w:rPr/>
      </w:pPr>
      <w:r>
        <w:rPr/>
        <w:t xml:space="preserve">Maintaining adequate storage capacity to provide the core with sufficient economic and operational flexibility.  </w:t>
      </w:r>
    </w:p>
    <w:p>
      <w:pPr>
        <w:pStyle w:val="ListBullet21"/>
        <w:numPr>
          <w:ilvl w:val="0"/>
          <w:numId w:val="9"/>
        </w:numPr>
        <w:spacing w:before="0" w:after="240"/>
        <w:ind w:hanging="0" w:start="0"/>
        <w:rPr/>
      </w:pPr>
      <w:r>
        <w:rPr/>
        <w:t>Eliminating from rates the cost of storage capacity – Montebello – which is no longer used and useful.</w:t>
      </w:r>
    </w:p>
    <w:p>
      <w:pPr>
        <w:pStyle w:val="ListBullet21"/>
        <w:numPr>
          <w:ilvl w:val="0"/>
          <w:numId w:val="9"/>
        </w:numPr>
        <w:spacing w:before="0" w:after="240"/>
        <w:ind w:hanging="0" w:start="0"/>
        <w:rPr/>
      </w:pPr>
      <w:r>
        <w:rPr/>
        <w:t>Unbundling storage costs for CTAs and their customers without jeopardizing the quality of service to remaining utilities customers.</w:t>
      </w:r>
    </w:p>
    <w:p>
      <w:pPr>
        <w:pStyle w:val="BodyText2"/>
        <w:spacing w:before="0" w:after="240"/>
        <w:rPr/>
      </w:pPr>
      <w:r>
        <w:rPr/>
        <w:t>Just as there are several issues that primarily affect core customers, there are several issues that primarily affect noncore customers:</w:t>
      </w:r>
    </w:p>
    <w:p>
      <w:pPr>
        <w:pStyle w:val="ListBullet21"/>
        <w:numPr>
          <w:ilvl w:val="0"/>
          <w:numId w:val="9"/>
        </w:numPr>
        <w:spacing w:before="0" w:after="240"/>
        <w:ind w:hanging="0" w:start="0"/>
        <w:rPr/>
      </w:pPr>
      <w:r>
        <w:rPr/>
        <w:t>Permit trading of storage rights on a secondary market through an EBB.</w:t>
      </w:r>
    </w:p>
    <w:p>
      <w:pPr>
        <w:pStyle w:val="ListBullet21"/>
        <w:numPr>
          <w:ilvl w:val="0"/>
          <w:numId w:val="9"/>
        </w:numPr>
        <w:spacing w:before="0" w:after="240"/>
        <w:ind w:hanging="0" w:start="0"/>
        <w:rPr/>
      </w:pPr>
      <w:r>
        <w:rPr/>
        <w:t>Allocate an appropriate amount of risk to SoCalGas for marketing unbundled storage capacity.</w:t>
      </w:r>
    </w:p>
    <w:p>
      <w:pPr>
        <w:pStyle w:val="ListBullet21"/>
        <w:numPr>
          <w:ilvl w:val="0"/>
          <w:numId w:val="9"/>
        </w:numPr>
        <w:spacing w:before="0" w:after="240"/>
        <w:ind w:hanging="0" w:start="0"/>
        <w:rPr/>
      </w:pPr>
      <w:r>
        <w:rPr/>
        <w:t>Provide SoCalGas with price flexibility in marketing storage capacity while protecting customers from monopoly pricing abuse.</w:t>
      </w:r>
    </w:p>
    <w:p>
      <w:pPr>
        <w:pStyle w:val="BodyText"/>
        <w:spacing w:before="0" w:after="240"/>
        <w:rPr/>
      </w:pPr>
      <w:r>
        <w:rPr/>
        <w:t xml:space="preserve">On some of these issues, the responses of the Interim/Post-Interim Settlement and the Comprehensive Settlement are somewhat similar.  However, in other instances, the responses are sharply divergent. In every instance, the response of the Interim/Post-Interim Settlement is better for both customers and fair competition, although not necessarily better for SoCalGas shareholders and their allied marketers.  </w:t>
      </w:r>
    </w:p>
    <w:p>
      <w:pPr>
        <w:pStyle w:val="Heading2"/>
        <w:tabs>
          <w:tab w:val="clear" w:pos="720"/>
        </w:tabs>
        <w:ind w:hanging="0" w:start="0"/>
        <w:rPr/>
      </w:pPr>
      <w:bookmarkStart w:id="42" w:name="__RefHeading___Toc487881554"/>
      <w:r>
        <w:rPr/>
        <w:t>The Interim and Post-Interim Settlements Maintain the 1999 SoCalGas BCAP Core Reservation, While the Comprehensive Settlement Risks Causing Higher Costs for the Core by Reducing The Reservation.</w:t>
      </w:r>
      <w:bookmarkEnd w:id="42"/>
      <w:r>
        <w:rPr/>
        <w:t xml:space="preserve">  </w:t>
      </w:r>
    </w:p>
    <w:p>
      <w:pPr>
        <w:pStyle w:val="BodyText"/>
        <w:spacing w:before="0" w:after="240"/>
        <w:rPr/>
      </w:pPr>
      <w:r>
        <w:rPr/>
        <w:t>Key Comprehensive Settlement supporters, including, notably, SoCalGas and ORA, agreed to a Joint Recommendation submitted in the 1999 SoCalGas BCAP.  Under the Joint Recommendation, an appropriate core storage reservation was determined to be 70 bcf of inventory, 327 MMcf/d of injection, and 1,935 MMcf/d of withdrawal capacity.  Only a few months ago, The Joint Recommendation was approved by the Commission in D.00</w:t>
        <w:noBreakHyphen/>
        <w:t>04</w:t>
        <w:noBreakHyphen/>
        <w:t xml:space="preserve">000 (April 20, 2000).  In spite of that, without so much as a word of explanation, the Comprehensive Settlement reduces the recently agreed-upon core reservation of inventory capacity from 70 bcf to 55 bcf.  The Comprehensive Settlement supporters tout the fact that the Comprehensive Settlement reduces storage costs allocated to core customers by $5 million, studiously avoiding mention of the fact that the $5 million rate reduction would be accomplished by reducing what the core gets for its money.  </w:t>
      </w:r>
    </w:p>
    <w:p>
      <w:pPr>
        <w:pStyle w:val="BodyText"/>
        <w:spacing w:before="0" w:after="240"/>
        <w:rPr/>
      </w:pPr>
      <w:r>
        <w:rPr/>
        <w:t>The Comprehensive Settlement reduction of the core reservation of inventory capacity should be rejected.  Any cost saving that might be achieved by reducing the core's reservation may be more than offset by the increased gas costs or increased cost of "backbone" transmission capacity that the core may be forced to acquire as a consequence of the inventory reduction.  Ex. 102, 34 (Florio).  If the core's reservation of "backbone" transmission capacity is fixed, as it would be under the Comprehensive Settlement, and the core loses its current flexibility to increase its use of transmission capacity at no additional cost, the reduction of inventory capacity will be likely to force the core either to buy more "backbone" transmission capacity or to buy more gas at the new downstream citygates..</w:t>
      </w:r>
    </w:p>
    <w:p>
      <w:pPr>
        <w:pStyle w:val="BodyText"/>
        <w:spacing w:before="0" w:after="240"/>
        <w:rPr/>
      </w:pPr>
      <w:r>
        <w:rPr/>
        <w:t xml:space="preserve">Under the Comprehensive Settlement, if the core needs more firm transmission capacity, the core will have to acquire it through a secondary market in which prices will be unconstrained.  If the core, alternatively, decides just to buy gas, the core will have to buy it at the new citygates at unconstrained prices.  Thus, reducing the core's storage inventory while at the same time sharply limiting its flexibility to access additional transmission capacity when needed is certainly more likely than not to drive up total costs for the core.  </w:t>
      </w:r>
      <w:r>
        <w:rPr>
          <w:u w:val="single"/>
        </w:rPr>
        <w:t>Id.</w:t>
      </w:r>
    </w:p>
    <w:p>
      <w:pPr>
        <w:pStyle w:val="Heading2"/>
        <w:tabs>
          <w:tab w:val="clear" w:pos="720"/>
        </w:tabs>
        <w:ind w:hanging="0" w:start="0"/>
        <w:rPr/>
      </w:pPr>
      <w:bookmarkStart w:id="43" w:name="__RefHeading___Toc487881555"/>
      <w:bookmarkEnd w:id="43"/>
      <w:r>
        <w:rPr/>
        <w:t>The Post-Interim Settlement Removes Montebello Costs From Rates, While The Comprehensive Settlement Does Not.</w:t>
      </w:r>
    </w:p>
    <w:p>
      <w:pPr>
        <w:pStyle w:val="BodyText"/>
        <w:spacing w:before="0" w:after="240"/>
        <w:rPr/>
      </w:pPr>
      <w:r>
        <w:rPr/>
        <w:t xml:space="preserve">The Post-Interim Settlement is vastly better than the Comprehensive Settlement in its treatment of the costs associated with SoCalGas' Montebello storage field.  That field has not been used for several years.  </w:t>
      </w:r>
      <w:r>
        <w:rPr>
          <w:u w:val="single"/>
        </w:rPr>
        <w:t>Ex.</w:t>
      </w:r>
      <w:r>
        <w:rPr/>
        <w:t> 102, at 34 (Florio).  The Post-Interim Settlement removes Montebello costs from rates, effective September 16, 2000.  The Comprehensive Settlement by contrast, excludes Montebello from its embedded cost calculation of unbundled storage rate (CSA §2.1.3.2) but does not remove Montebello costs from SoCalGas' revenue requirement.  Instead, under the Comprehensive Settlement, Montebello costs remain bundled in base margin to be recovered through the long run marginal cost ("LRMC") scaling factor.  Ex. 1, at 35 (CSA § 2.1.3.7).  The recovery of Montebello costs through the LRMC scaler means that core customers would bear as much as 95 percent of the costs under the Comprehensive Settlement without receiving any benefit whatsoever from use of the field.  Ex. 102, at 34 (Florio).</w:t>
      </w:r>
    </w:p>
    <w:p>
      <w:pPr>
        <w:pStyle w:val="BodyText"/>
        <w:spacing w:before="0" w:after="240"/>
        <w:rPr/>
      </w:pPr>
      <w:r>
        <w:rPr/>
        <w:t>In D.99-09-068, the Commission found that ratepayers should not continue to pay the costs associated with Montebello if it were subsequently determined that the facility has not been used and useful.  Therefore, the Commission ordered that rate recovery of Montebello costs after the effective date of D.99</w:t>
        <w:noBreakHyphen/>
        <w:t>09</w:t>
        <w:noBreakHyphen/>
        <w:t>068, September 16, 1999, would be subject to refund pending final resolution of Montebello-related issues.</w:t>
      </w:r>
    </w:p>
    <w:p>
      <w:pPr>
        <w:pStyle w:val="BodyText"/>
        <w:spacing w:before="0" w:after="240"/>
        <w:rPr/>
      </w:pPr>
      <w:r>
        <w:rPr/>
        <w:t>Montebello has not been used and useful in providing utility service for some time.  In D.98-01015, at 6-7, SoCalGas stated that it has not used the Montebello facility since before April, 1997, and that it has sufficient excess storage capacity to meet all of its contractual obligations.  Ex. 101, at 56.  Montebello capacity is not made available for sale under SoCalGas' unbundled storage program, and the costs of Montebello are not reflected in current storage rates.  Instead, as would continue to be the case under the Comprehensive Settlement, Montebello costs are recovered through the LRMC scaler.  As a result, SoCalGas' core customers are currently playing approximately 85 percent of the costs, with residential customers paying 70 percent of the cost.  Ex. 101, at 56; Ex. 102, at 3 (Florio).</w:t>
      </w:r>
    </w:p>
    <w:p>
      <w:pPr>
        <w:pStyle w:val="BodyText"/>
        <w:spacing w:before="0" w:after="240"/>
        <w:rPr/>
      </w:pPr>
      <w:r>
        <w:rPr/>
        <w:t>This is the time and place to find that Montebello is not used and useful and to order that costs associated with Montebello shall be removed from rates.  Accordingly, the Post-Interim Settlement provides that the cost of owning and operating Montebello should be removed from SoCalGas' base rates, effective as of the "subject to refund" date, September 16, 1999.</w:t>
      </w:r>
    </w:p>
    <w:p>
      <w:pPr>
        <w:pStyle w:val="BodyText"/>
        <w:spacing w:before="0" w:after="240"/>
        <w:rPr/>
      </w:pPr>
      <w:r>
        <w:rPr/>
        <w:t xml:space="preserve">While the Post-Interim Settlement would remove the cost of Montebello from the rates of </w:t>
      </w:r>
      <w:r>
        <w:rPr>
          <w:u w:val="single"/>
        </w:rPr>
        <w:t>all</w:t>
      </w:r>
      <w:r>
        <w:rPr/>
        <w:t xml:space="preserve"> customers effective September 16, 1999, the only thing that the Comprehensive Settlement would do would be to </w:t>
      </w:r>
      <w:r>
        <w:rPr>
          <w:i/>
        </w:rPr>
        <w:t>increase</w:t>
      </w:r>
      <w:r>
        <w:rPr/>
        <w:t xml:space="preserve"> the allocation of Montebello costs to core customers from approximately 85 percent to 95 percent.  The Post-Interim approach should be adopted, and the Comprehensive Settlement provision should be rejected.</w:t>
      </w:r>
    </w:p>
    <w:p>
      <w:pPr>
        <w:pStyle w:val="Heading2"/>
        <w:tabs>
          <w:tab w:val="clear" w:pos="720"/>
        </w:tabs>
        <w:ind w:hanging="0" w:start="0"/>
        <w:rPr/>
      </w:pPr>
      <w:bookmarkStart w:id="44" w:name="__RefHeading___Toc487881556"/>
      <w:bookmarkEnd w:id="44"/>
      <w:r>
        <w:rPr/>
        <w:t>The Post-Interim Settlement Provides CTAs with a Reasonable Benefit by Unbundling Non-Reliability Storage Costs for CTAs; the Comprehensive Settlement Goes Too Far by Unbundling the Reliability Portion As Well.</w:t>
      </w:r>
    </w:p>
    <w:p>
      <w:pPr>
        <w:pStyle w:val="BodyText"/>
        <w:spacing w:before="0" w:after="240"/>
        <w:rPr/>
      </w:pPr>
      <w:r>
        <w:rPr/>
        <w:t>The Interim Settlement contains a provision offering an opportunity for CTAs to decrease the costs associated with serving CTA customers without unduly burdening other core customers with costs associated with stranded storage capacity.  Ex. 101, at 46 (Yap).  Under the Interim Settlement, all of the withdrawal capacity and 50 percent of the inventory and associated injection capacity that is allocated to core service is designated as being used for providing minimum core service reliability.  The costs associated with that capacity is to remain bundled in the transportation rates charged to all core customers, including CTA customers.  Ex. 100, Att. A, at 15-16 (ISA § VII.B).</w:t>
      </w:r>
    </w:p>
    <w:p>
      <w:pPr>
        <w:pStyle w:val="BodyText"/>
        <w:spacing w:before="0" w:after="240"/>
        <w:rPr/>
      </w:pPr>
      <w:r>
        <w:rPr/>
        <w:t xml:space="preserve">CTAs would have the option to accept or reject at unscaled LRMC rates a pro rata share of the 50 percent of core inventory and injunction capacity that is not used for minimum reliability purposes.  </w:t>
      </w:r>
      <w:r>
        <w:rPr>
          <w:u w:val="single"/>
        </w:rPr>
        <w:t>Id.</w:t>
      </w:r>
      <w:r>
        <w:rPr/>
        <w:t xml:space="preserve">  Storage capacity that is rejected by the CTAs would be treated as being available for unbundled storage service, with shareholders being at risk for recovery of the costs just as they would be for recovery of any other unbundled storage service costs.  </w:t>
      </w:r>
      <w:r>
        <w:rPr>
          <w:u w:val="single"/>
        </w:rPr>
        <w:t>Id.</w:t>
      </w:r>
      <w:r>
        <w:rPr/>
        <w:t xml:space="preserve">  This provision gives the CTAs the ability to avoid a significant portion of their storage costs.  There would be no further storage unbundling for CTAs for the term of the 1999 BCAP.  After that, there could be further unbundling, if any further unbundling were found to be justified.  Ex. 100, at 8 (PSA § 5.1).</w:t>
      </w:r>
    </w:p>
    <w:p>
      <w:pPr>
        <w:pStyle w:val="BodyText"/>
        <w:spacing w:before="0" w:after="240"/>
        <w:rPr/>
      </w:pPr>
      <w:r>
        <w:rPr/>
        <w:t xml:space="preserve">Under the Comprehensive Settlement, CTAs are given the option to accept or reject </w:t>
      </w:r>
      <w:r>
        <w:rPr>
          <w:u w:val="single"/>
        </w:rPr>
        <w:t>both</w:t>
      </w:r>
      <w:r>
        <w:rPr/>
        <w:t xml:space="preserve"> the core reservation for non-reliability purposes </w:t>
      </w:r>
      <w:r>
        <w:rPr>
          <w:u w:val="single"/>
        </w:rPr>
        <w:t>and</w:t>
      </w:r>
      <w:r>
        <w:rPr/>
        <w:t xml:space="preserve"> the core reservation for reliability purposes, although there is a cap on the CTAs' ability to reject reliability storage.  Ex. 1 at 58-59 (CSA § 5.4.4.3-5.4.4.5).  The Comprehensive Settlement leaves open the question to whether there should be any caps on the CTA ability to reject core reliability storage after April 1, 2003.  </w:t>
      </w:r>
    </w:p>
    <w:p>
      <w:pPr>
        <w:pStyle w:val="BodyText"/>
        <w:spacing w:before="0" w:after="240"/>
        <w:rPr/>
      </w:pPr>
      <w:r>
        <w:rPr/>
        <w:t>The more prudent course would be to adopt the Interim Settlement provision.  Even under the more limited approach of the Interim and Post-Interim Settlements, many dramatic operational changes would occur on the SoCalGas system simultaneously and soon.  For example, windowing would be eliminated, uniform but liberalized balancing rules would apply to the core and noncore, and an OFO regime would be instituted.  These dramatic reforms may have unforeseen impacts on reliability.  It would be imprudent to permit CTAs to "throw the dice" and reject reliability storage at the very time that reliability of the system may be affected in unforeseen ways by other significant agreed-upon reforms.  Thus, the more measured Interim and Post-Interim Settlement approach should be adopted, and the less cautious Comprehensive Settlement approach should be rejected.</w:t>
      </w:r>
    </w:p>
    <w:p>
      <w:pPr>
        <w:pStyle w:val="Heading2"/>
        <w:tabs>
          <w:tab w:val="clear" w:pos="720"/>
        </w:tabs>
        <w:ind w:hanging="0" w:start="0"/>
        <w:rPr/>
      </w:pPr>
      <w:bookmarkStart w:id="45" w:name="__RefHeading___Toc487881557"/>
      <w:bookmarkEnd w:id="45"/>
      <w:r>
        <w:rPr/>
        <w:t>The Interim Settlement Creates a Secondary Market Including an EBB to Facilitate Trading Storage Contracts, While the Comprehensive Settlement Jeopardizes the Liquidity of the Secondary Market By Imposing Trading Fees.</w:t>
      </w:r>
    </w:p>
    <w:p>
      <w:pPr>
        <w:pStyle w:val="BodyText"/>
        <w:spacing w:before="0" w:after="240"/>
        <w:rPr/>
      </w:pPr>
      <w:r>
        <w:rPr/>
        <w:t xml:space="preserve">In D.99-07-015, the Commission found that it would be a "most promising option" to create a "system of tradable storage rights" in southern California.  D.99-07-015, slip. op. at 24.  The Interim Settlement provides for the creation of a secondary market for trading southern California storage contracts and would facilitate the liquidity of the market by avoiding the imposition of any charges on trades.  The Interim Settlement provides that "customers of SoCalGas' unbundled storage service will have explicit rights to assign in a secondary market their storage contract for all or a portion of the term of their storage contract."  Ex. 100, Att. A, at 14 (ISA § VII.A).  Furthermore:  "Storage Contracts may be reassigned additional times, for all or part of the term of the contract that had been assigned."  </w:t>
      </w:r>
      <w:r>
        <w:rPr>
          <w:u w:val="single"/>
        </w:rPr>
        <w:t>Id.</w:t>
      </w:r>
      <w:r>
        <w:rPr/>
        <w:t xml:space="preserve">  This secondary market would not be price regulated:  "The Commission will not regulate the price paid for assignment of storage contracts in the secondary market.”  </w:t>
      </w:r>
      <w:r>
        <w:rPr>
          <w:u w:val="single"/>
        </w:rPr>
        <w:t xml:space="preserve">Id.  </w:t>
      </w:r>
    </w:p>
    <w:p>
      <w:pPr>
        <w:pStyle w:val="BodyText"/>
        <w:spacing w:before="0" w:after="240"/>
        <w:rPr/>
      </w:pPr>
      <w:r>
        <w:rPr/>
        <w:t xml:space="preserve">In order to facilitate the trading of contracts in the secondary market, the Interim Settlement provides for SoCalGas to establish an EBB.  </w:t>
      </w:r>
      <w:r>
        <w:rPr>
          <w:u w:val="single"/>
        </w:rPr>
        <w:t>Id.</w:t>
      </w:r>
      <w:r>
        <w:rPr/>
        <w:t xml:space="preserve">  To facilitate developing liquidity in the secondary market, the Interim Settlement specifically provides that no fees may be charged for use of the EBB:  "No separate fees beyond existing charges for access to the SoCalGas GasSelect System shall be charged for the use of the EBB."  </w:t>
      </w:r>
      <w:r>
        <w:rPr>
          <w:u w:val="single"/>
        </w:rPr>
        <w:t>Id.</w:t>
      </w:r>
      <w:r>
        <w:rPr/>
        <w:t xml:space="preserve">  Furthermore, even though use of the EBB would be free, using the EBB would be entirely optional:  "Use of the SoCalGas EBB to effect trades of storage contracts is at the option of the holders of storage contracts."  </w:t>
      </w:r>
      <w:r>
        <w:rPr>
          <w:u w:val="single"/>
        </w:rPr>
        <w:t>Id.</w:t>
      </w:r>
    </w:p>
    <w:p>
      <w:pPr>
        <w:pStyle w:val="BodyText"/>
        <w:spacing w:before="0" w:after="240"/>
        <w:rPr/>
      </w:pPr>
      <w:r>
        <w:rPr/>
        <w:t xml:space="preserve">The Comprehensive Settlement also provides for a secondary market for trading storage rights.  Ex. 1, at 35-36 (CSA § 2.2).  However, there would be a charge for trading.  The Comprehensive Settlement provides that the provisions for the "platform" for trading storage rights shall be as set forth in Section 6.3 of the Comprehensive Settlement.  Section 6.3, in turn, provides:  "Participation in the secondary market transactions through a </w:t>
      </w:r>
      <w:r>
        <w:rPr>
          <w:i/>
        </w:rPr>
        <w:t>mandatory</w:t>
      </w:r>
      <w:r>
        <w:rPr/>
        <w:t xml:space="preserve"> Electronic Bulletin Board is consistent with the Commission's goals . . .."  Ex. 1 at 68 (CSA § 6.3.1) (emphasis added).</w:t>
      </w:r>
    </w:p>
    <w:p>
      <w:pPr>
        <w:pStyle w:val="BodyText"/>
        <w:spacing w:before="0" w:after="240"/>
        <w:rPr/>
      </w:pPr>
      <w:r>
        <w:rPr/>
        <w:t xml:space="preserve">Subsequent subparagraphs of Section 6.3 of the Comprehensive Settlement establish that the EBB shall be set up under a "sole-source contract with ALTRA" and shall be "subject to the terms of that contract."  </w:t>
      </w:r>
      <w:r>
        <w:rPr>
          <w:u w:val="single"/>
        </w:rPr>
        <w:t>Id.</w:t>
      </w:r>
      <w:r>
        <w:rPr/>
        <w:t xml:space="preserve">, (CSA § 6.3.3).  "A monthly subscription fee is required, if the customer does not already subscribe to ALTRA," although a "smaller subscription fee will be made available for those entities who only want to use ALTRA for capacity trading, and not commodity trading."  </w:t>
      </w:r>
      <w:r>
        <w:rPr>
          <w:u w:val="single"/>
        </w:rPr>
        <w:t>Id.</w:t>
      </w:r>
      <w:r>
        <w:rPr/>
        <w:t xml:space="preserve"> (CSA § 6.3.4).  SoCalGas gets half of the transaction fees:  "SoCalGas will receive fifty percent (50 %) of the transaction fees to cover its ongoing costs and services."  </w:t>
      </w:r>
      <w:r>
        <w:rPr>
          <w:u w:val="single"/>
        </w:rPr>
        <w:t>Id.</w:t>
      </w:r>
      <w:r>
        <w:rPr/>
        <w:t xml:space="preserve">  Thus, unlike under the Interim Settlement, the Comprehensive Settlement provides for mandatory use of an EBB for which a fee shall be charged, with 50 percent of the fees going to SoCalGas.</w:t>
      </w:r>
    </w:p>
    <w:p>
      <w:pPr>
        <w:pStyle w:val="BodyText"/>
        <w:spacing w:before="0" w:after="240"/>
        <w:rPr/>
      </w:pPr>
      <w:r>
        <w:rPr/>
        <w:t xml:space="preserve">From a customer standpoint, the Interim Settlement provisions for an EBB with no fees is better than the Comprehensive Settlement provision for an EBB with fees.  Furthermore, from the standpoint of promoting competition rather than competitors, it is preferable to avoid charges on trades:  if there are no charges, parties will be more inclined to use the EBB to make trades, facilitating liquidity of the secondary market.  Thus, the Commission should approve the Interim Settlement proposal for a free, optional EBB for secondary storage trades and reject the Comprehensive Settlement proposal for a "mandatory" fee-based EBB.  </w:t>
      </w:r>
    </w:p>
    <w:p>
      <w:pPr>
        <w:pStyle w:val="Heading2"/>
        <w:tabs>
          <w:tab w:val="clear" w:pos="720"/>
        </w:tabs>
        <w:ind w:hanging="0" w:start="0"/>
        <w:rPr/>
      </w:pPr>
      <w:bookmarkStart w:id="46" w:name="__RefHeading___Toc487881558"/>
      <w:bookmarkEnd w:id="46"/>
      <w:r>
        <w:rPr/>
        <w:t>Both the Post-Interim Settlement and the Comprehensive Settlement Put SoCalGas at Risk for Unbundled Storage Costs.</w:t>
      </w:r>
    </w:p>
    <w:p>
      <w:pPr>
        <w:pStyle w:val="BodyText"/>
        <w:spacing w:before="0" w:after="240"/>
        <w:rPr/>
      </w:pPr>
      <w:r>
        <w:rPr/>
        <w:t xml:space="preserve">In D.99-07-015, the Commission found that is was a “most promising option” to create a system of tradable storage rights "that places the utility at risk for unused resources . . .."  D.99-07-015, at 24.  Accordingly, both the Post-Interim Settlement and the Comprehensive Settlement put SoCalGas shareholders at risk for all unbundled storage costs as of 2003.  Under the Post-Interim Settlement, the current 50/50 balancing account treatment for unbundled storage revenues would remain in effect until January 1, 2003, at which time the existing Noncore Storage Balancing Account ("NSBA") would be eliminated, and SoCalGas would be fully at risk for used storage assets.  Ex. 1, at 8 (PSA §§ 5.4.1; 5.4.2).  Under the Comprehensive Settlement, SoCalGas shall be at risk for 50 percent of unbundled storage revenues from April 1, 2001 through March 31, 2002 and shall be at risk for 75 percent of storage revenues from April 1, 2002 through March 31, 2003.  SoCalGas would become 100 percent at risk as of April 1, 2003, three months later than under the Interim Settlement.  Ex. 1, at 39 (CSA § 2.3.3). </w:t>
      </w:r>
    </w:p>
    <w:p>
      <w:pPr>
        <w:pStyle w:val="BodyText"/>
        <w:spacing w:before="0" w:after="240"/>
        <w:rPr/>
      </w:pPr>
      <w:r>
        <w:rPr/>
        <w:t>Although both the Post-Interim Settlement and the Comprehensive Settlement move SoCalGas to the point of being 100 percent at risk for unbundled storage revenues by 2003, the Post-Interim Settlement approach is preferable.  First, the Post-Interim Settlement moves SoCalGas to the point of being 100 percent at risk somewhat sooner than the Comprehensive Settlement.  Second, the 50/50 provision that the Post-Interim Settlement would maintain in place until January 1, 2003 is already in place in accordance with the SoCalGas 1999 BCAP decision, D.00-04-060, so no changes are necessary in order to implement the provision.  Third, insofar as the current SoCalGas BCAP period will end on December 31, 2002, it makes sense to eliminate the NSBA on January 1, 2003.  Thus, the Post-Interim Settlement approach to moving SoCalGas to full risk for unbundled storage costs and revenues should be adopted rather than the Comprehensive Settlement approach.</w:t>
      </w:r>
    </w:p>
    <w:p>
      <w:pPr>
        <w:pStyle w:val="Heading2"/>
        <w:tabs>
          <w:tab w:val="clear" w:pos="720"/>
        </w:tabs>
        <w:ind w:hanging="0" w:start="0"/>
        <w:rPr/>
      </w:pPr>
      <w:bookmarkStart w:id="47" w:name="__RefHeading___Toc487881559"/>
      <w:bookmarkEnd w:id="47"/>
      <w:r>
        <w:rPr/>
        <w:t>The Post-Interim Settlement Would Maintain a Price Cap, Whereas the Comprehensive Settlement Eliminates All Price Caps on Storage, Unreasonably Exposing Customers to Monopoly Pricing.</w:t>
      </w:r>
    </w:p>
    <w:p>
      <w:pPr>
        <w:pStyle w:val="BodyText"/>
        <w:spacing w:before="0" w:after="240"/>
        <w:rPr/>
      </w:pPr>
      <w:r>
        <w:rPr/>
        <w:t xml:space="preserve">In D.99-07-015, the Commission observed “that SoCalGas is the predominant provider of gas storage in southern California and is likely to remain so, even if Montebello is operated by another firm.”  D.99-07-015, slip op. at 23.  The Commission continued:  “While flowing supply can be used to meet some of the goals of storage, it does not meet all of the goals and, by definition, it is not consistently available.”  </w:t>
      </w:r>
      <w:r>
        <w:rPr>
          <w:u w:val="single"/>
        </w:rPr>
        <w:t>Id.</w:t>
      </w:r>
      <w:r>
        <w:rPr/>
        <w:t xml:space="preserve">  Accordingly, the Commission concluded that it was not a promising option to permit SoCalGas to have unlimited price flexibility in selling unbundled storage services:  “In the absence of meaningful competition, it is not a promising option to grant SoCalGas unlimited ability to control prices and supply.”  </w:t>
      </w:r>
      <w:r>
        <w:rPr>
          <w:u w:val="single"/>
        </w:rPr>
        <w:t>Id.</w:t>
      </w:r>
      <w:r>
        <w:rPr/>
        <w:t xml:space="preserve">  The Commission noted, however:  “Some pricing flexibility may be appropriate if the company’s shareholders assume the risk for recovery of storage costs.”  </w:t>
      </w:r>
      <w:r>
        <w:rPr>
          <w:u w:val="single"/>
        </w:rPr>
        <w:t>Id.</w:t>
      </w:r>
      <w:r>
        <w:rPr/>
        <w:t xml:space="preserve">  </w:t>
      </w:r>
    </w:p>
    <w:p>
      <w:pPr>
        <w:pStyle w:val="BodyText"/>
        <w:spacing w:before="0" w:after="240"/>
        <w:rPr/>
      </w:pPr>
      <w:r>
        <w:rPr/>
        <w:t>The provisions of the Post-Interim Settlement on this point are perfectly consistent with the Commission’s directive that it is not a most promising option to permit SoCalGas to have unlimited pricing flexibility in selling storage services, but it would be appropriate for SoCalGas to have “some” pricing flexibility if shareholders bear the risk for recovery of storage costs.  The Post-Interim Settlement maintains a cap on the prices that SoCalGas may charge for unbundled storage service, but the cap is reasonably liberal, given that SoCalGas shareholders would be 100 percent at risk for recovering unbundled storage costs as of January 1, 2003.  Under the Post-Interim Settlement, as of January 1, 2003, SoCalGas shall have pricing flexibility for storage products, provided that the reservation charge shall be no higher than the ceiling reservation charge currently specified in SoCalGas’ Schedule G-TBS tariff.  This provides a generous degree of flexibility, given the height of the G-TBS price ceiling.  Ex. 102, at 56 (Yap).  Under Schedule G</w:t>
        <w:noBreakHyphen/>
        <w:t>TBS, the ceiling price for any specific storage service (injection, inventory, or withdrawal) is based on the sum of the prices under SoCalGas’ Schedule G-LTS tariff for inventory, injection, and withdrawal service.</w:t>
      </w:r>
    </w:p>
    <w:p>
      <w:pPr>
        <w:pStyle w:val="BodyText"/>
        <w:spacing w:before="0" w:after="240"/>
        <w:rPr/>
      </w:pPr>
      <w:r>
        <w:rPr/>
        <w:t>While the Post-Interim Settlement puts SoCalGas at risk for recovering unbundled storage costs as of January 1, 2003 but retains a reasonably liberal cap on the prices that SoCalGas may charge, the Post-Interim Settlement should be approved and the Comprehensive Settlement rejected.</w:t>
      </w:r>
    </w:p>
    <w:p>
      <w:pPr>
        <w:pStyle w:val="Heading3"/>
        <w:ind w:hanging="0" w:start="0"/>
        <w:rPr/>
      </w:pPr>
      <w:bookmarkStart w:id="48" w:name="__RefHeading___Toc487881560"/>
      <w:bookmarkEnd w:id="48"/>
      <w:r>
        <w:rPr/>
        <w:t>Maintaining a Reasonably Liberal Cost Cap Even Though SoCalGas Is at Full Risk for Unbundled Storage Revenues Is Consistent with the Gas Accord.</w:t>
      </w:r>
    </w:p>
    <w:p>
      <w:pPr>
        <w:pStyle w:val="BodyText"/>
        <w:spacing w:before="0" w:after="240"/>
        <w:rPr/>
      </w:pPr>
      <w:r>
        <w:rPr/>
        <w:t xml:space="preserve">The Post-Interim Settlement’s imposition of a reasonably liberal cap on SoCalGas pricing of unbundled storage services while putting the utility at risk for recovering unbundled storage revenues is consistent with the Gas Accord.  Despite placing the utility at full risk for its unbundled storage revenues, the Gas Accord stops short of providing PG&amp;E with unlimited pricing flexibility.  Storage rates are still based on costs and are capped at a price that will collect 100 percent of PG&amp;E’s total revenue requirement for each of the three storage functions.  Ex. 101, at 27 (Florio) </w:t>
      </w:r>
      <w:r>
        <w:rPr>
          <w:i/>
        </w:rPr>
        <w:t>citing</w:t>
      </w:r>
      <w:r>
        <w:rPr/>
        <w:t xml:space="preserve"> PG&amp;E Gas Accord, at 13; Ex. 102, at 31 (Yap). </w:t>
      </w:r>
    </w:p>
    <w:p>
      <w:pPr>
        <w:pStyle w:val="Heading3"/>
        <w:ind w:hanging="0" w:start="0"/>
        <w:rPr/>
      </w:pPr>
      <w:bookmarkStart w:id="49" w:name="__RefHeading___Toc487881561"/>
      <w:bookmarkEnd w:id="49"/>
      <w:r>
        <w:rPr/>
        <w:t>Under the Comprehensive Settlement, SoCalGas Would Have the Incentive as well as the Means to Exploit Potential Storage Customers.</w:t>
      </w:r>
    </w:p>
    <w:p>
      <w:pPr>
        <w:pStyle w:val="BodyText"/>
        <w:spacing w:before="0" w:after="240"/>
        <w:rPr/>
      </w:pPr>
      <w:r>
        <w:rPr/>
        <w:t>Putting SoCalGas at risk for the recovery of unbundled storage revenues gives SoCalGas the incentive to exploit customers that need storage services.  Absent a price cap, SoCalGas would certainly have the means as well.  As noted in D.99-07-015, “SoCalGas is the dominant provider of gas storage in southern California and is likely to remain so, even if Montebello is operated by another firm.”  D.99-07-015, slip op. at 43.  There are currently no other storage service providers in southern California.  That leaves northern California storage operators, the secondary market, and flowing supply as the sole options for providing any meaningful competition with SoCalGas.  None of them do.</w:t>
      </w:r>
    </w:p>
    <w:p>
      <w:pPr>
        <w:pStyle w:val="Heading4"/>
        <w:tabs>
          <w:tab w:val="clear" w:pos="720"/>
        </w:tabs>
        <w:ind w:hanging="0" w:start="0"/>
        <w:rPr/>
      </w:pPr>
      <w:r>
        <w:rPr/>
        <w:t>Northern California Storage Operators Do Not Provide Meaningful Competition with SoCalGas.</w:t>
      </w:r>
    </w:p>
    <w:p>
      <w:pPr>
        <w:pStyle w:val="BodyText"/>
        <w:spacing w:before="0" w:after="240"/>
        <w:rPr/>
      </w:pPr>
      <w:r>
        <w:rPr/>
        <w:t xml:space="preserve">Wild Goose Storage has begun operating its storage field in the Sacramento Valley, but it is located too far upstream to pose a meaningful competitive threat to SoCalGas in the southern California market.  Wild Goose's witness knew of no instances in which Wild Goose customers had  entered into arrangements that would permit gas to be delivered out of the Wild Goose facility into the SoCalGas territory.  Tr. 577.  This is the same for Western  Hub Properties’ Lodi Gas Storage Field.  Ex. 102, at 29 (Yap).  Additionally, Lodi Gas Storage has obtained only a conditional certificate and may never commence service.  D.00-05-048 (May 18, 2000).  </w:t>
      </w:r>
    </w:p>
    <w:p>
      <w:pPr>
        <w:pStyle w:val="Heading4"/>
        <w:tabs>
          <w:tab w:val="clear" w:pos="720"/>
        </w:tabs>
        <w:ind w:hanging="0" w:start="0"/>
        <w:rPr/>
      </w:pPr>
      <w:r>
        <w:rPr/>
        <w:t>The Secondary Market Is Unlikely to Provide Meaningful Competition with SoCalGas.</w:t>
      </w:r>
    </w:p>
    <w:p>
      <w:pPr>
        <w:pStyle w:val="BodyText"/>
        <w:spacing w:before="0" w:after="240"/>
        <w:rPr/>
      </w:pPr>
      <w:r>
        <w:rPr/>
        <w:t>The secondary market for southern California storage services is unlikely to provide meaningful competition with SoCalGas, particularly if liquidity is impaired by the imposition of charges on secondary market transactions, as proposed in the Comprehensive Settlement.  Customers will require storage services that match their needs as closely as possible.  Ex. 102, at 30 (Yap).  Yet, supplies of storage products on the secondary market could be quite limited in both type and duration.</w:t>
      </w:r>
    </w:p>
    <w:p>
      <w:pPr>
        <w:pStyle w:val="BodyText"/>
        <w:spacing w:before="0" w:after="240"/>
        <w:rPr/>
      </w:pPr>
      <w:r>
        <w:rPr/>
        <w:t xml:space="preserve">Furthermore, as has been experienced in northern California under the PG&amp;E Gas Accord, most customers are likely to shift to marketers at the new downstream citygates because of the significant increase in risk and transaction costs that they face in acquiring either “backbone” transmission or storage themselves.  If customers in southern California end up relying on marketers as heavily as they do in northern California under the Gas Accord, storage assets will be likely to be placed in the hands of the relatively few entities that could have very complex profit-driven motives for handling those assets in secondary market transactions, preventing the secondary market from being a meaningful source of competition available to customers as an alternative to taking unbundled storage services directly from SoCalGas.  </w:t>
      </w:r>
    </w:p>
    <w:p>
      <w:pPr>
        <w:pStyle w:val="Heading4"/>
        <w:tabs>
          <w:tab w:val="clear" w:pos="720"/>
        </w:tabs>
        <w:ind w:hanging="0" w:start="0"/>
        <w:rPr>
          <w:rFonts w:ascii="Times New Roman" w:hAnsi="Times New Roman" w:cs="Times New Roman"/>
        </w:rPr>
      </w:pPr>
      <w:r>
        <w:rPr>
          <w:rFonts w:cs="Times New Roman" w:ascii="Times New Roman" w:hAnsi="Times New Roman"/>
        </w:rPr>
        <w:t>Flowing Supply Is Not a Meaningful Source of Competition with SoCalGas.</w:t>
      </w:r>
    </w:p>
    <w:p>
      <w:pPr>
        <w:pStyle w:val="BodyText"/>
        <w:spacing w:before="0" w:after="240"/>
        <w:rPr/>
      </w:pPr>
      <w:r>
        <w:rPr/>
        <w:t>Flowing supply joins northern California storage and the secondary market as being a questionable source of competition for SoCalGas' storage.  The Commission recognized this in the D.99-07-015:  "While flowing supply can be used to meet some of the goals of storage, it does not meet all of the goals and, by definition, is not consistently available."  D.99</w:t>
        <w:noBreakHyphen/>
        <w:t>07</w:t>
        <w:noBreakHyphen/>
        <w:t>015, slip op. at 23.  Another obstacle to flowing supply competing effectively with SoCalGas' unbundled storage is that SoCalGas can manipulate transmission system operations to make its storage services more attractive, as the Commission recognized in D.99-07-015:</w:t>
      </w:r>
    </w:p>
    <w:p>
      <w:pPr>
        <w:pStyle w:val="SingleIndent"/>
        <w:rPr/>
      </w:pPr>
      <w:r>
        <w:rPr/>
        <w:t>Undeniably, the current arrangement provides an incentive for the distribution companies to operate their transmission systems in a manner that encourages the use of their own storage facilities instead of those owned by competitors.  The available tools include delay, failure to share complete information, and failure to adequately contain costs that are passed on to competing firms.  Such tools could be used in a thousand different subtle ways that would be difficult to detect and need not involve violations of existing rules.</w:t>
      </w:r>
    </w:p>
    <w:p>
      <w:pPr>
        <w:pStyle w:val="BodyTextNoIndent"/>
        <w:rPr/>
      </w:pPr>
      <w:r>
        <w:rPr>
          <w:u w:val="single"/>
        </w:rPr>
        <w:t>Id.</w:t>
      </w:r>
      <w:r>
        <w:rPr/>
        <w:t xml:space="preserve"> at 25-26.  Thus, it is doubtful that flowing supply would be an effective competitive alternative to SoCalGas' storage.</w:t>
      </w:r>
    </w:p>
    <w:p>
      <w:pPr>
        <w:pStyle w:val="Heading3"/>
        <w:keepLines/>
        <w:ind w:hanging="0" w:start="0"/>
        <w:rPr/>
      </w:pPr>
      <w:bookmarkStart w:id="50" w:name="__RefHeading___Toc487881562"/>
      <w:bookmarkEnd w:id="50"/>
      <w:r>
        <w:rPr/>
        <w:t>The Comprehensive Settlement's Standard Storage Package Provides Insufficient Protection for Noncore Customers.</w:t>
      </w:r>
    </w:p>
    <w:p>
      <w:pPr>
        <w:pStyle w:val="BodyText"/>
        <w:keepNext w:val="true"/>
        <w:keepLines/>
        <w:spacing w:before="0" w:after="240"/>
        <w:rPr/>
      </w:pPr>
      <w:r>
        <w:rPr/>
        <w:t>The apparent response of Comprehensive Settlement's supporters to the point that the Comprehensive Settlement lacks a cap on SoCalGas unbundled storage prices is that under the Comprehensive Settlement SoCalGas would make available through an annual open season a standard package of inventory, injection, and withdrawal service at an annual embedded cost-based price of $0.67 per dth of inventory.  The apparent claim of the Comprehensive Settlement supporters is that the annual offering of this package through an open season would provide all customers with an opportunity to get storage services at embedded costs.</w:t>
      </w:r>
    </w:p>
    <w:p>
      <w:pPr>
        <w:pStyle w:val="BodyText"/>
        <w:spacing w:before="0" w:after="240"/>
        <w:rPr/>
      </w:pPr>
      <w:r>
        <w:rPr/>
        <w:t>The problem with the standard package is that the customer must buy a pre-specified package of products that they would be likely to find to be unattractive.  The Comprehensive Settlement standard package of storage products might be suitable for customers interested in seasonal storage, but the package is inadequate for customers interested in load balancing, which is likely to be the interest of noncore customers.  Ex. 102, at 32 (Yap).</w:t>
      </w:r>
    </w:p>
    <w:p>
      <w:pPr>
        <w:pStyle w:val="BodyText"/>
        <w:spacing w:before="0" w:after="240"/>
        <w:rPr/>
      </w:pPr>
      <w:r>
        <w:rPr/>
        <w:t>The Comprehensive Settlement standard package of one bcf of inventory, 7.6 MMcf/d of injection, and 29.6 MMcf/d withdrawal would cost $208,760 for inventory, $301,142 for injection, and $167,953 for withdrawal, for a total of $677,855.  Ex. 2, Att. 6, at 1 (Lorenz).  This package has a high inventory level that would take over 120 days to fill and over 30 days to drain.  Ex. 102, at 32 (Yap).  Thus, it more closely fits the needs of a seasonal user such as a core customer rather than the needs of a noncore customer that requires storage to meet load balancing requirements.</w:t>
      </w:r>
    </w:p>
    <w:p>
      <w:pPr>
        <w:pStyle w:val="BodyText"/>
        <w:spacing w:before="0" w:after="240"/>
        <w:rPr/>
      </w:pPr>
      <w:r>
        <w:rPr/>
        <w:t xml:space="preserve">A noncore customer seeking load balancing service would be required to pay for unwanted inventory and withdrawal services if it bought the standard package.  The noncore customer would be likely to be interested in the 7.6 MMcf/d injection that would be offered in the standard package but would need only 122.3 MMcf/d of inventory and 5.8 MMcf/d of withdrawal capacity.  This load balancing package would have a combined embedded cost of only $359,584, roughly half of what the customer would be required to pay if its only option were to take the standard package.  Ex. 102, at 32 (Yap).  For a fairly typical noncore load balancing customer, SoCalGas' standard package would double the cost of storage services.  </w:t>
      </w:r>
    </w:p>
    <w:p>
      <w:pPr>
        <w:pStyle w:val="BodyText"/>
        <w:spacing w:before="0" w:after="240"/>
        <w:rPr/>
      </w:pPr>
      <w:r>
        <w:rPr/>
        <w:t xml:space="preserve">No standard package of storage services is proposed in the Comprehensive Settlement for noncore customers that require storage for load balancing purposes.  These customers are left in the position of either being required to take a seasonal package that effectively doubles their cost of storage or trying to negotiate a tailor-made package with SoCalGas with no price cap.  Either way, the noncore customers that desire to use storage for load balancing would be left paying an excessive price for services that would utilize depreciated storage facilities on which the customers may have paid return and associated depreciation for years.  </w:t>
      </w:r>
    </w:p>
    <w:p>
      <w:pPr>
        <w:pStyle w:val="Heading1"/>
        <w:tabs>
          <w:tab w:val="clear" w:pos="720"/>
        </w:tabs>
        <w:ind w:hanging="0" w:start="0"/>
        <w:rPr/>
      </w:pPr>
      <w:bookmarkStart w:id="51" w:name="__RefHeading___Toc487881563"/>
      <w:bookmarkEnd w:id="51"/>
      <w:r>
        <w:rPr/>
        <w:t>Balancing:  The Interim and Post-Interim Settlements Create New Markets and Enhance Competition, but the Comprehensive Settlement Imposes New Costs, Fees, Risks, and Burdens on Customer in Order to Create Opportunities for Marketers and SoCalGas</w:t>
      </w:r>
      <w:r>
        <w:rPr>
          <w:u w:val="none"/>
        </w:rPr>
        <w:t>.</w:t>
      </w:r>
    </w:p>
    <w:p>
      <w:pPr>
        <w:pStyle w:val="BodyText"/>
        <w:spacing w:before="0" w:after="240"/>
        <w:rPr/>
      </w:pPr>
      <w:r>
        <w:rPr/>
        <w:t>The dichotomy between the Interim and Post-Interim Settlements and the Comprehensive Settlement raises several balancing and curtailment issues.  The primary thrust of the Comprehensive Settlement is to create revenue generating market opportunities for SoCalGas and its allied marketers.  There are at least eight outstanding issues regarding balancing and curtailment:</w:t>
      </w:r>
    </w:p>
    <w:p>
      <w:pPr>
        <w:pStyle w:val="ListBullet31"/>
        <w:numPr>
          <w:ilvl w:val="0"/>
          <w:numId w:val="8"/>
        </w:numPr>
        <w:ind w:hanging="0" w:start="0"/>
        <w:rPr/>
      </w:pPr>
      <w:r>
        <w:rPr/>
        <w:t>The Comprehensive Settlement proposal to deprive customers of the benefit of load diversity by separating the core and noncore for balancing purposes.</w:t>
      </w:r>
    </w:p>
    <w:p>
      <w:pPr>
        <w:pStyle w:val="ListBullet31"/>
        <w:numPr>
          <w:ilvl w:val="0"/>
          <w:numId w:val="8"/>
        </w:numPr>
        <w:ind w:hanging="0" w:start="0"/>
        <w:rPr/>
      </w:pPr>
      <w:r>
        <w:rPr/>
        <w:t>The Comprehensive Settlement proposal to reduce the load balancing storage injection capacity from levels approved in the 1999 SoCalGas BCAP.</w:t>
      </w:r>
    </w:p>
    <w:p>
      <w:pPr>
        <w:pStyle w:val="ListBullet31"/>
        <w:numPr>
          <w:ilvl w:val="0"/>
          <w:numId w:val="8"/>
        </w:numPr>
        <w:ind w:hanging="0" w:start="0"/>
        <w:rPr/>
      </w:pPr>
      <w:r>
        <w:rPr/>
        <w:t>The Comprehensive Settlement proposal to unbundle storage balancing costs and to permit self-balancing before experience is gained with the elimination of windowing and the introduction of OFOs.</w:t>
      </w:r>
    </w:p>
    <w:p>
      <w:pPr>
        <w:pStyle w:val="ListBullet31"/>
        <w:numPr>
          <w:ilvl w:val="0"/>
          <w:numId w:val="8"/>
        </w:numPr>
        <w:ind w:hanging="0" w:start="0"/>
        <w:rPr/>
      </w:pPr>
      <w:r>
        <w:rPr/>
        <w:t>The Comprehensive Settlement proposal to have the core offer hub services using core assets and Gas Operations sell hub services using system-wide assets, with all of the Gas Operations revenues going to shareholders.</w:t>
      </w:r>
    </w:p>
    <w:p>
      <w:pPr>
        <w:pStyle w:val="ListBullet31"/>
        <w:numPr>
          <w:ilvl w:val="0"/>
          <w:numId w:val="8"/>
        </w:numPr>
        <w:ind w:hanging="0" w:start="0"/>
        <w:rPr/>
      </w:pPr>
      <w:r>
        <w:rPr/>
        <w:t>The Comprehensive Settlement proposal to impose charges for access to liberalized imbalance trading rules that could be used for free under Interim Settlement.</w:t>
      </w:r>
    </w:p>
    <w:p>
      <w:pPr>
        <w:pStyle w:val="ListBullet31"/>
        <w:numPr>
          <w:ilvl w:val="0"/>
          <w:numId w:val="8"/>
        </w:numPr>
        <w:ind w:hanging="0" w:start="0"/>
        <w:rPr/>
      </w:pPr>
      <w:r>
        <w:rPr/>
        <w:t>The Comprehensive Settlement provision for fixed imbalance charges instead of the Interim Settlement provision for indexed imbalance charges.</w:t>
      </w:r>
    </w:p>
    <w:p>
      <w:pPr>
        <w:pStyle w:val="ListBullet31"/>
        <w:numPr>
          <w:ilvl w:val="0"/>
          <w:numId w:val="8"/>
        </w:numPr>
        <w:ind w:hanging="0" w:start="0"/>
        <w:rPr/>
      </w:pPr>
      <w:r>
        <w:rPr/>
        <w:t>The Comprehensive Settlement proposal that SoCalGas retain imbalance revenues.</w:t>
      </w:r>
    </w:p>
    <w:p>
      <w:pPr>
        <w:pStyle w:val="ListBullet31"/>
        <w:numPr>
          <w:ilvl w:val="0"/>
          <w:numId w:val="8"/>
        </w:numPr>
        <w:ind w:hanging="0" w:start="0"/>
        <w:rPr/>
      </w:pPr>
      <w:r>
        <w:rPr/>
        <w:t>The Comprehensive Settlement proposal of pooling rules that are more restrictive than those proposed in the Interim Settlement.</w:t>
      </w:r>
    </w:p>
    <w:p>
      <w:pPr>
        <w:pStyle w:val="BodyText"/>
        <w:spacing w:before="0" w:after="240"/>
        <w:ind w:hanging="0" w:end="0"/>
        <w:rPr/>
      </w:pPr>
      <w:r>
        <w:rPr/>
        <w:t>In every instance, without variation, the steps taken in the Comprehensive Settlement in juxtaposition to the Interim and Post-Interim Settlements redound to the detriment of customers and to the benefit of either SoCalGas, marketers, or both.  Without exception, the position taken in the Interim and Post-Interim Settlements should be approved and the position taken by the Comprehensive Settlement supporters should be rejected.</w:t>
      </w:r>
    </w:p>
    <w:p>
      <w:pPr>
        <w:pStyle w:val="Heading2"/>
        <w:tabs>
          <w:tab w:val="clear" w:pos="720"/>
        </w:tabs>
        <w:ind w:hanging="0" w:start="0"/>
        <w:rPr/>
      </w:pPr>
      <w:bookmarkStart w:id="52" w:name="__RefHeading___Toc487881564"/>
      <w:bookmarkEnd w:id="52"/>
      <w:r>
        <w:rPr/>
        <w:t>The Comprehensive Settlement Would Deprive Customers of the Benefit of Load Diversity by Separating the Core from the Noncore for Load Balancing Purposes.</w:t>
      </w:r>
    </w:p>
    <w:p>
      <w:pPr>
        <w:pStyle w:val="BodyText"/>
        <w:spacing w:before="0" w:after="240"/>
        <w:rPr/>
      </w:pPr>
      <w:r>
        <w:rPr/>
        <w:t xml:space="preserve">Currently, both the core and noncore benefit from the load diversity that exists on the SoCalGas system as a result of the combined system being balanced as a whole.  The Comprehensive Settlement, however, would deprive the customers of the benefit of load diversity.  The result would be a dramatic increase in OFOs.  Another result would be a likely increase in the cost of gas for the core.  The solution is to adopt the Interim and Post-Interim Settlements.  The Interim Settlement would assure that there would be no undue use of core resources by the noncore or </w:t>
      </w:r>
      <w:r>
        <w:rPr>
          <w:i/>
        </w:rPr>
        <w:t>vice versa</w:t>
      </w:r>
      <w:r>
        <w:rPr/>
        <w:t xml:space="preserve"> by imposing the same balancing rules on the core as the noncore while retaining the benefits of diversity for all customers.</w:t>
      </w:r>
    </w:p>
    <w:p>
      <w:pPr>
        <w:pStyle w:val="Heading3"/>
        <w:ind w:hanging="0" w:start="0"/>
        <w:rPr/>
      </w:pPr>
      <w:bookmarkStart w:id="53" w:name="__RefHeading___Toc487881565"/>
      <w:bookmarkEnd w:id="53"/>
      <w:r>
        <w:rPr/>
        <w:t>Both the Core and the Noncore Benefit from Using System-Wide Balancing to Take Advantage of Load Diversity.</w:t>
      </w:r>
    </w:p>
    <w:p>
      <w:pPr>
        <w:pStyle w:val="BodyText"/>
        <w:spacing w:before="0" w:after="240"/>
        <w:rPr/>
      </w:pPr>
      <w:r>
        <w:rPr/>
        <w:t>The current practice of balancing the SoCalGas system as a whole rather than on a class-by-class basis provides substantial benefits to both the core and the noncore.  Witness Yap reviewed SoCalGas' daily operating data for the period November 1998 through December 1999 and found that both the core and the noncore separately and significantly exceeded the limits of their storage balancing assets, yet the SoCalGas system as a whole exceeds the limits infrequently.  Ex. 101, at 29.</w:t>
      </w:r>
    </w:p>
    <w:p>
      <w:pPr>
        <w:pStyle w:val="BodyText"/>
        <w:spacing w:before="0" w:after="240"/>
        <w:rPr/>
      </w:pPr>
      <w:r>
        <w:rPr>
          <w:u w:val="single"/>
        </w:rPr>
        <w:t>The Core Class</w:t>
      </w:r>
      <w:r>
        <w:rPr/>
        <w:t xml:space="preserve">:   The core currently pays for 327 MMcf/d of injection capacity as part of its seasonal storage reservation as well as an additional 25.5 MMcf/d of injection for load balancing purposes for a total injection capacity of 352.5 MMcf/d.  A comparison of core receipts to core send-out on a daily basis for the period November 1998 through December 1999 shows that the core used more than the 352.5 MMcf/d injection capacity that it pays for on 83 days out of the year.  Ex. 101, at 29 (Yap).  The 83 days of "excess" injections occurred primarily during the spring and early summer months when gas prices are typically low.  </w:t>
      </w:r>
      <w:r>
        <w:rPr>
          <w:u w:val="single"/>
        </w:rPr>
        <w:t>Id</w:t>
      </w:r>
      <w:r>
        <w:rPr/>
        <w:t>.  During that spring and early summer period, the core's injection is generally higher than the 352.5 MMcf/d level, and on many days even exceeds the combination of core injection plus all of the 329.4 MMcf/d of injection capacity that is currently reserved for noncore load balancing.  Core injections averaged 471 MMcf/d during the period of April 15 to June 30, 1999 with peak injections exceeding 1,100 MMcf/d during that 45 day period.  Ex. 101, at 30 (Yap).</w:t>
      </w:r>
    </w:p>
    <w:p>
      <w:pPr>
        <w:pStyle w:val="BodyText"/>
        <w:spacing w:before="0" w:after="240"/>
        <w:rPr/>
      </w:pPr>
      <w:r>
        <w:rPr/>
        <w:t>The core's current ability to shift injection to the spring saves millions for the core.  The Comprehensive Settlement's elimination of the flexibility that the core now enjoys would cost core customers another $5.5 million per year.  Tr. 324</w:t>
        <w:noBreakHyphen/>
        <w:t>325 (Yap).</w:t>
      </w:r>
    </w:p>
    <w:p>
      <w:pPr>
        <w:pStyle w:val="BodyText"/>
        <w:spacing w:before="0" w:after="240"/>
        <w:rPr/>
      </w:pPr>
      <w:r>
        <w:rPr>
          <w:u w:val="single"/>
        </w:rPr>
        <w:t>The Noncore Class</w:t>
      </w:r>
      <w:r>
        <w:rPr/>
        <w:t xml:space="preserve">:  The noncore also benefits from system-wide balancing.  The noncore pays for 329.4 MMcf/d in injection capacity and 250 MMcf/d in withdrawal capacity for load balancing purposes.  </w:t>
      </w:r>
      <w:r>
        <w:rPr>
          <w:u w:val="single"/>
        </w:rPr>
        <w:t>Id</w:t>
      </w:r>
      <w:r>
        <w:rPr/>
        <w:t>.  A comparison of total noncore receipts, including withdrawals from storage, to amounts burned or injected into storage for the period November 1998 through December 1999 shows that the noncore exceeded its injection capacity on 56 days in comparison to the 83 days for the core.  The noncore exceeded its withdrawal capacity on 75 days.</w:t>
      </w:r>
    </w:p>
    <w:p>
      <w:pPr>
        <w:pStyle w:val="BodyText"/>
        <w:spacing w:before="0" w:after="240"/>
        <w:rPr/>
      </w:pPr>
      <w:r>
        <w:rPr>
          <w:u w:val="single"/>
        </w:rPr>
        <w:t>The Core and Noncore Combined</w:t>
      </w:r>
      <w:r>
        <w:rPr/>
        <w:t xml:space="preserve">:  The combined core and noncore exceeded its combined injection capacity on only 23 days versus the 83 days for the core and 56 days for the noncore.  Similarly, the combined core/noncore </w:t>
      </w:r>
      <w:r>
        <w:rPr>
          <w:i/>
        </w:rPr>
        <w:t>never</w:t>
      </w:r>
      <w:r>
        <w:rPr/>
        <w:t xml:space="preserve"> exceeded its combined withdrawal capacity versus the 75 days for the noncore.  Thus, there are very significant synergies between the core and noncore.  Ex. 101, at 30 (Yap).  Systemwide load diversity provides efficiency in the use of system resources.  Fewer storage balancing resources are required when the core and noncore classes are balanced on a combined basis than if the classes were required to balance separately.  </w:t>
      </w:r>
      <w:r>
        <w:rPr>
          <w:u w:val="single"/>
        </w:rPr>
        <w:t>Id</w:t>
      </w:r>
      <w:r>
        <w:rPr/>
        <w:t>.</w:t>
      </w:r>
    </w:p>
    <w:p>
      <w:pPr>
        <w:pStyle w:val="BodyText"/>
        <w:spacing w:before="0" w:after="240"/>
        <w:rPr/>
      </w:pPr>
      <w:r>
        <w:rPr/>
        <w:t>However, the Comprehensive Settlement would deprive customers of the efficiency benefits of load diversity.</w:t>
      </w:r>
    </w:p>
    <w:p>
      <w:pPr>
        <w:pStyle w:val="Heading3"/>
        <w:ind w:hanging="0" w:start="0"/>
        <w:rPr/>
      </w:pPr>
      <w:bookmarkStart w:id="54" w:name="__RefHeading___Toc487881566"/>
      <w:bookmarkEnd w:id="54"/>
      <w:r>
        <w:rPr/>
        <w:t>The Comprehensive Settlement Would Deprive the Core and Noncore of the Benefits of Load Diversity While Simultaneously Reducing the Assets Allocated to the Load Balancing Function, Thereby Dramatically Increasing the Frequency of OFOs.</w:t>
      </w:r>
    </w:p>
    <w:p>
      <w:pPr>
        <w:pStyle w:val="BodyText"/>
        <w:spacing w:before="0" w:after="240"/>
        <w:rPr/>
      </w:pPr>
      <w:r>
        <w:rPr/>
        <w:t>In addition to eliminating balancing synergies by separating the core from the noncore for balancing purposes, the Comprehensive Settlement would reduce the resources dedicated to the balancing function.  The core's injection resources would shrink from the current 352.5 MMcf/d to 327 MMcf/d, eliminating all of the 25.5 MMcf/d of injection capability that is currently assigned to it for balancing purposes.  The noncore's injection resources would shrink even more dramatically from the current level of 329.4 MMcf/d to 250 MMcf/d.  Ex. 2, at 18, 21(Lorenz).  As a result of the "double whammy" of eliminating the benefits of load diversity while reducing load balancing resources, customers lose.</w:t>
      </w:r>
    </w:p>
    <w:p>
      <w:pPr>
        <w:pStyle w:val="BodyText"/>
        <w:spacing w:before="0" w:after="240"/>
        <w:rPr/>
      </w:pPr>
      <w:r>
        <w:rPr/>
        <w:t>The number and intensity of OFOs would increase dramatically for both core and noncore customers as a result of the loss of diversity combined with the reduction in balancing resources.  The core would have an 89-fold increase in OFO events, going from 1 to 89 events, as well as a 39-fold increase in the average over-nomination volume, going from 4,886 dth to 189,104 dth.  Ex. 102, at 36 (Yap).</w:t>
      </w:r>
    </w:p>
    <w:p>
      <w:pPr>
        <w:pStyle w:val="BodyText"/>
        <w:spacing w:before="0" w:after="240"/>
        <w:rPr>
          <w:u w:val="single"/>
        </w:rPr>
      </w:pPr>
      <w:r>
        <w:rPr/>
        <w:t xml:space="preserve">The over-nomination volume is significant because it represents the supplies of inexpensive gas that the core would be less able to obtain during the spring and early summer months when the overall throughput on the system is relatively low.  The core would either have to purchase injection capacity on the secondary market in order to inject the additional volumes during the spring and summer, which could be costly, or the core would have to defer purchases to a time when gas prices were higher.  </w:t>
      </w:r>
      <w:r>
        <w:rPr>
          <w:u w:val="single"/>
        </w:rPr>
        <w:t>Id</w:t>
      </w:r>
      <w:r>
        <w:rPr/>
        <w:t>.</w:t>
      </w:r>
    </w:p>
    <w:p>
      <w:pPr>
        <w:pStyle w:val="BodyText"/>
        <w:spacing w:before="0" w:after="240"/>
        <w:rPr/>
      </w:pPr>
      <w:r>
        <w:rPr/>
        <w:t>Noncore customers would also see a dramatic increase in OFO events.  For them, there would be a quadrupling of OFO events over the level of over-nomination events declared in 1999, going from 19 to 86 occurrences.  Also, the average over-nomination volume would increase, going from an average volume of 25,719 dth per event to 134,284 dth per event.  As with the core, the forced elimination of the increased over-nomination volumes under the Comprehensive Settlement would be likely to increase gas costs for the noncore.</w:t>
      </w:r>
    </w:p>
    <w:p>
      <w:pPr>
        <w:pStyle w:val="BodyText"/>
        <w:spacing w:before="0" w:after="240"/>
        <w:rPr/>
      </w:pPr>
      <w:r>
        <w:rPr/>
        <w:t>Both the loss of diversity and the reduction in load balancing resources would contribute to the dramatic increase in OFOs under the Comprehensive Settlement rules.</w:t>
      </w:r>
    </w:p>
    <w:p>
      <w:pPr>
        <w:pStyle w:val="Heading3"/>
        <w:keepLines/>
        <w:ind w:hanging="0" w:start="0"/>
        <w:rPr/>
      </w:pPr>
      <w:bookmarkStart w:id="55" w:name="__RefHeading___Toc487881567"/>
      <w:bookmarkEnd w:id="55"/>
      <w:r>
        <w:rPr/>
        <w:t>The Commission Should Adopt the Provisions of the Interim Settlement to Establish Parity Between the Core and Noncore While Simultaneously Retaining for All Customers the Benefits of Load Diversity.</w:t>
      </w:r>
    </w:p>
    <w:p>
      <w:pPr>
        <w:pStyle w:val="BodyText"/>
        <w:spacing w:before="0" w:after="240"/>
        <w:rPr/>
      </w:pPr>
      <w:r>
        <w:rPr/>
        <w:t>Customers should not be stripped of the benefits of load diversity.  Systemwide balancing provides greater efficiency in resource usage.  Fewer resources are required when classes are balanced on a combined basis than when classes are required to be balanced separately.</w:t>
      </w:r>
    </w:p>
    <w:p>
      <w:pPr>
        <w:pStyle w:val="BodyText"/>
        <w:spacing w:before="0" w:after="240"/>
        <w:rPr/>
      </w:pPr>
      <w:r>
        <w:rPr/>
        <w:t>It is certainly not necessary to eliminate systemwide balancing to attain consistency with a PG&amp;E Gas Accord.  One of the key elements of the Gas Accord was as follows:  "Provide balancing service through a single integrated gas system for both transmission level and distribution level customers."  D.97</w:t>
        <w:noBreakHyphen/>
        <w:t>08</w:t>
        <w:noBreakHyphen/>
        <w:t>055, App. B, at 3 (Gas Accord).  Even while maintaining the benefits of load diversity for the benefit of all classes by balancing the PG&amp;E system on a system-wide basis, the shift to an OFO regime resulted in a dramatic increase in OFOs on the system to approximately five times a month at the time that D.99-07-015 was written.  D.99</w:t>
        <w:noBreakHyphen/>
        <w:t>07</w:t>
        <w:noBreakHyphen/>
        <w:t>015, slip op. at 32 (July 8, 1999).</w:t>
      </w:r>
    </w:p>
    <w:p>
      <w:pPr>
        <w:pStyle w:val="BodyText"/>
        <w:spacing w:before="0" w:after="240"/>
        <w:rPr/>
      </w:pPr>
      <w:r>
        <w:rPr/>
        <w:t xml:space="preserve">It is, also, not necessary to deprive customers of the benefits of load diversity in order to eliminate "inappropriate cross-subsidies" between classes.  D.99-07-015, slip op. at 38.  The noncore is not "leaning" on core assets.  The core and noncore obtain mutual benefits from pooling their resources and taking advantage of synergies.  As shown above, the core as well as the noncore obtains significant benefits from system-wide balancing.  Core customers obtain access to greater quantities of inexpensive (spring time) gas supplies than they would if they were constrained to the 352.5 MMcf/d of injection that they pay for under the BCAP decision, and they do so without having to buy additional injection capacity on a secondary market at unconstrained prices.  </w:t>
      </w:r>
    </w:p>
    <w:p>
      <w:pPr>
        <w:pStyle w:val="BodyText"/>
        <w:spacing w:before="0" w:after="240"/>
        <w:rPr/>
      </w:pPr>
      <w:r>
        <w:rPr/>
        <w:t xml:space="preserve">In any event, the Interim Settlement imposes the same balancing rules on the core as the noncore.  This should ensure that there is no undue use of noncore resources for the core as well as </w:t>
      </w:r>
      <w:r>
        <w:rPr>
          <w:i/>
        </w:rPr>
        <w:t>vice versa</w:t>
      </w:r>
      <w:r>
        <w:rPr/>
        <w:t>.  Ex. 101, at 31(Yap).  At the same time, the Interim Settlement would allow all customers to benefit from the diversity of load.</w:t>
      </w:r>
    </w:p>
    <w:p>
      <w:pPr>
        <w:pStyle w:val="BodyText"/>
        <w:spacing w:before="0" w:after="240"/>
        <w:rPr/>
      </w:pPr>
      <w:r>
        <w:rPr/>
        <w:t>The primary purpose of the Comprehensive Settlement elimination of systemwide balancing is not to benefit customers.  Rather, it is to "increase the demand for the unbundled storage and hub services provided by SoCalGas and the independent storage providers. . . ."  Ex. 102, at 35 (Florio).  Insofar as it is nothing more than a raw marketing device, the elimination of systemwide balancing should be rejected.</w:t>
      </w:r>
    </w:p>
    <w:p>
      <w:pPr>
        <w:pStyle w:val="Heading2"/>
        <w:tabs>
          <w:tab w:val="clear" w:pos="720"/>
        </w:tabs>
        <w:ind w:hanging="0" w:start="0"/>
        <w:rPr/>
      </w:pPr>
      <w:bookmarkStart w:id="56" w:name="__RefHeading___Toc487881568"/>
      <w:bookmarkEnd w:id="56"/>
      <w:r>
        <w:rPr/>
        <w:t>The Load Balancing Capacity Reservations Adopted in the 1999 SoCalGas BCAP Should Be Retained at least until the End of the Current BCAP Period.</w:t>
      </w:r>
    </w:p>
    <w:p>
      <w:pPr>
        <w:pStyle w:val="BodyText"/>
        <w:spacing w:before="0" w:after="240"/>
        <w:rPr/>
      </w:pPr>
      <w:r>
        <w:rPr/>
        <w:t>The Comprehensive Settlement proposal to reduce the amount of injection capacity that is assigned to the load balancing function should be rejected.  The reduction of injection capacity would increase the number of OFOs.  If injection capacity for the noncore balancing function were left at the 329.4 MMcf/d level adopted in the 1999 BCAP, the 86 noncore OFOs that would have occurred in 1999 under Comprehensive Settlement rules with an injection capacity of 250 MMcf/d would drop to 62 noncore OFOs.  Ex. 102, at 37 (Yap).</w:t>
      </w:r>
    </w:p>
    <w:p>
      <w:pPr>
        <w:pStyle w:val="BodyText"/>
        <w:spacing w:before="0" w:after="240"/>
        <w:rPr/>
      </w:pPr>
      <w:r>
        <w:rPr/>
        <w:t>More generally, this is the wrong time to consider a reduction in the capacity allocated to the load balancing function.  The reduction proposed in the Comprehensive Settlement makes no sense given that the Commission has just competed a BCAP that addressed the appropriate level of resources that should be dedicated to the load balancing function.  Key parties to the Comprehensive Settlement, including SoCalGas and ORA, agreed to the Joint Recommendation that formed the basis for the Commission's decision.  D.00-04-060, App. A.  Furthermore, the allocation of assets to the balancing function should not be reduced at the very time that other significant changes are occurring on the SoCalGas system that could affect reliability.</w:t>
      </w:r>
    </w:p>
    <w:p>
      <w:pPr>
        <w:pStyle w:val="Heading2"/>
        <w:tabs>
          <w:tab w:val="clear" w:pos="720"/>
        </w:tabs>
        <w:ind w:hanging="0" w:start="0"/>
        <w:rPr/>
      </w:pPr>
      <w:bookmarkStart w:id="57" w:name="__RefHeading___Toc487881569"/>
      <w:bookmarkEnd w:id="57"/>
      <w:r>
        <w:rPr/>
        <w:t>Self-Balancing Should Be Deferred Until After the End of the Current BCAP Period.</w:t>
      </w:r>
    </w:p>
    <w:p>
      <w:pPr>
        <w:pStyle w:val="BodyText"/>
        <w:spacing w:before="0" w:after="240"/>
        <w:rPr/>
      </w:pPr>
      <w:r>
        <w:rPr/>
        <w:t>The Comprehensive Settlement proposal to unbundle the cost of storage balancing assets from rates and to permit customers to elect to "self-balance" should be rejected, at least for now.  The Interim Settlement would properly defer any further consideration of unbundling balancing capacity to the next SoCalGas BCAP to become effective January 1, 2003.  Ex. 100, App. A, at 17 (IS § VII.D).</w:t>
      </w:r>
    </w:p>
    <w:p>
      <w:pPr>
        <w:pStyle w:val="BodyText"/>
        <w:spacing w:before="0" w:after="240"/>
        <w:rPr/>
      </w:pPr>
      <w:r>
        <w:rPr/>
        <w:t xml:space="preserve">First, as with the Comprehensive Settlement's proposed reduction in the amount of storage capacity dedicated to the load-balancing function, this is the wrong time to make a change.  Parties on the PG&amp;E system were surprised that after adoption of the Gas Accord, the frequency of OFOs soared, and customers had great difficulty in predicting when the OFO's would be called.  D.99-07-015, slip op. at 32.  Customers suddenly found that they were required to take expensive steps to correct imbalances, such as buying gas on short notice, drawing uneconomic supplies for storage, buying short-term storage access, or selling gas at a loss.  </w:t>
      </w:r>
      <w:r>
        <w:rPr>
          <w:u w:val="single"/>
        </w:rPr>
        <w:t>Id.</w:t>
      </w:r>
      <w:r>
        <w:rPr/>
        <w:t xml:space="preserve">  Very significant steps would be taken under the Interim Settlement, most especially, the elimination of windowing and the switch to an OFO regime.  The Commission should allow time to examine the efficacy of those reforms before taking the further step of permitting self-balancing.  </w:t>
      </w:r>
    </w:p>
    <w:p>
      <w:pPr>
        <w:pStyle w:val="BodyText"/>
        <w:spacing w:before="0" w:after="240"/>
        <w:rPr/>
      </w:pPr>
      <w:r>
        <w:rPr/>
        <w:t xml:space="preserve">Second, allowing customers to self-balance would be likely to reduce the diversity of load that benefits all customers, thereby potentially increasing balancing costs for all remaining customers, including core customers.  Ex. 101, at 31 (Yap).  Higher load factor customers are likely to be the customers that would opt to take advantage of the self-balancing.  Those customers have enjoyed the economies of scale of a system sized to meet the very large demand of lower load factor customers such as core customers and electric generators.  It is less costly on a unit basis to install a large pipeline than a small pipeline.  It would be unfair to permit the higher load factor customers to enjoy all the benefits of economies of scale that they derive from being on a system with the very large loads represented by the lower load factor customers while being permitted to "self-balance."  If higher load factor customers are to enjoy the benefits of having the very large lower load factor loads on the system, the lower load factor customers should be permitted to enjoy some of the benefits of having the higher load factor customers on the system.  </w:t>
      </w:r>
    </w:p>
    <w:p>
      <w:pPr>
        <w:pStyle w:val="Heading2"/>
        <w:tabs>
          <w:tab w:val="clear" w:pos="720"/>
        </w:tabs>
        <w:ind w:hanging="0" w:start="0"/>
        <w:rPr/>
      </w:pPr>
      <w:bookmarkStart w:id="58" w:name="__RefHeading___Toc487881570"/>
      <w:bookmarkEnd w:id="58"/>
      <w:r>
        <w:rPr/>
        <w:t>The Commission Should Reject the Comprehensive Settlement Proposal to Exacerbate the Current Diversion of Hub Revenues from Customers to Shareholders.</w:t>
      </w:r>
    </w:p>
    <w:p>
      <w:pPr>
        <w:pStyle w:val="BodyText"/>
        <w:spacing w:before="0" w:after="240"/>
        <w:rPr/>
      </w:pPr>
      <w:r>
        <w:rPr/>
        <w:t xml:space="preserve">The Comprehensive Settlement schemes to deprive customers of the benefit of load diversity, to reduce the amount of storage capacity dedicated to load balancing, and to permit self-balancing would be likely to significantly increase customer demand for hub services as well as unbundled storage services.  Simultaneously, the Comprehensive Settlement would permit diversion of an increased proportion of hub revenues to SoCalGas shareholders.  </w:t>
      </w:r>
    </w:p>
    <w:p>
      <w:pPr>
        <w:pStyle w:val="BodyText"/>
        <w:spacing w:before="0" w:after="240"/>
        <w:rPr/>
      </w:pPr>
      <w:r>
        <w:rPr/>
        <w:t xml:space="preserve">Currently, SoCalGas' Gas Acquisition Department provides interruptible parking, loaning, and wheeling "hub" services.  Ex. 102, at 37 (Florio).  Revenues from the hub services are included in SoCalGas' annual Gas Cost Incentive Mechanism ("GCIM") calculation and, thus, are shared between core ratepayers and SoCalGas shareholders.  </w:t>
      </w:r>
      <w:r>
        <w:rPr>
          <w:u w:val="single"/>
        </w:rPr>
        <w:t>Id.</w:t>
      </w:r>
      <w:r>
        <w:rPr/>
        <w:t xml:space="preserve">  Even without the Comprehensive Settlement provisions, hub revenues are increasing.  Hub services revenues amounted to $5.4 million for the four years ending March 31, 1998, D.99-07-015, slip op. at 48, but hub revenues totaled $7.1 million for the 12 months ending March 31, 1999.  Ex. 4, at 17 (Pocta).</w:t>
      </w:r>
    </w:p>
    <w:p>
      <w:pPr>
        <w:pStyle w:val="BodyText"/>
        <w:spacing w:before="0" w:after="240"/>
        <w:rPr/>
      </w:pPr>
      <w:r>
        <w:rPr/>
        <w:t xml:space="preserve">Noncore customers have been concerned about the incentive that the sharing of hub revenues gives to SoCalGas to manipulate the operation of its system so as to encourage noncore customers to acquire hub and storage services.  D.99-07-015, at 48.  SCGC as well as others urged in R.98-01-011, the proceeding that resulted in D.99-07-015, that in order to remove the incentive to manipulation, hub service revenues should be removed from the GCIM calculation so that all hub revenues would flow to customers.  </w:t>
      </w:r>
      <w:r>
        <w:rPr>
          <w:u w:val="single"/>
        </w:rPr>
        <w:t>Id.</w:t>
      </w:r>
    </w:p>
    <w:p>
      <w:pPr>
        <w:pStyle w:val="BodyText"/>
        <w:spacing w:before="0" w:after="240"/>
        <w:rPr/>
      </w:pPr>
      <w:r>
        <w:rPr/>
        <w:t xml:space="preserve">Instead of removing the incentive to manipulation, the Comprehensive Settlement goes just the other direction.  The Comprehensive Settlement would restrict the offering of core hub services by the SoCalGas Gas Acquisition Department to those services that solely utilize core assets and allow SoCalGas Operations to provide a competing hub service: </w:t>
      </w:r>
    </w:p>
    <w:p>
      <w:pPr>
        <w:pStyle w:val="SingleIndent"/>
        <w:rPr/>
      </w:pPr>
      <w:r>
        <w:rPr/>
        <w:t>SoCalGas' Gas Acquisition Department will continued to be allowed to offer hub services.  It will be restricted to using storage capacity allocated to it and any other storage rights it may acquire in the secondary market.  It will be restricted to the use of only those storage capacities for all purposes, including balancing its own purchases and deliveries and its provisions of hub services . . . .</w:t>
      </w:r>
    </w:p>
    <w:p>
      <w:pPr>
        <w:pStyle w:val="SingleIndent"/>
        <w:rPr/>
      </w:pPr>
      <w:r>
        <w:rPr/>
        <w:t>. . . . this Settlement Agreement provides that SoCalGas may offer hub services with . . . . uncontracted-for and unassigned storage capacity through a "pipeline" department of SoCalGas (such as its Gas Acquisitions Department) that is wholly separate from the SoCalGas' Gas Acquisition Department.</w:t>
      </w:r>
    </w:p>
    <w:p>
      <w:pPr>
        <w:pStyle w:val="BodyText"/>
        <w:spacing w:before="0" w:after="240"/>
        <w:ind w:hanging="0" w:end="0"/>
        <w:rPr/>
      </w:pPr>
      <w:r>
        <w:rPr/>
        <w:t>Ex. 1, at 50-51, (CSA § 4.1.3).  Thus, SoCalGas' Gas Operations would be permitted to use any unutilized storage assets on the SoCalGas system to provide hub services, Ex. 102 at 38 (Florio), and that provision of services would be in direct competition with the Gas Acquisition Department's hub services.  Ex. 4, at 17 (Pocta).  Hub rates would be completely uncapped by April 1, 2003, and all revenues would flow to shareholders.  Ex. 1, at 50-51 (CSA § 4.1.3).</w:t>
      </w:r>
    </w:p>
    <w:p>
      <w:pPr>
        <w:pStyle w:val="BodyText"/>
        <w:spacing w:before="0" w:after="240"/>
        <w:rPr/>
      </w:pPr>
      <w:r>
        <w:rPr/>
        <w:t xml:space="preserve">There is a difference of opinion regarding the extent to which SoCalGas' Gas Acquisition Department currently utilizes solely core assets as opposed to system assets in providing hub services.  Witness Lorenz testified, for example, that only core assets are utilized, Tr. 724, while customers have been skeptical.  Regardless of whether SoCalGas' Gas Acquisition Department currently utilizes only core assets or, more broadly, system assets in providing hub services, one thing is certain:  if the Comprehensive Settlement were approved, Gas Acquisition would certainly be limited to offering hub services that utilize core assets, with Gas Operations offering hub services utilizing remaining unused system assets and with 100 percent of the revenues going to SoCalGas shareholders.  Thus, the Comprehensive Settlement enlarges the flow of hub-related revenues to shareholders.  </w:t>
      </w:r>
    </w:p>
    <w:p>
      <w:pPr>
        <w:pStyle w:val="BodyText"/>
        <w:spacing w:before="0" w:after="240"/>
        <w:rPr/>
      </w:pPr>
      <w:r>
        <w:rPr/>
        <w:t>By contrast, the Interim Settlement keeps the current GCIM mechanism in place until the end of the current BCAP period with no increase in the flow of hub revenues to SoCalGas shareholders.  Ex. 101, Att. A, at 19 (ISA § IX).  Parties would be free to advocate a reduction in the hub service revenues that flow to SoCalGas shareholders so as to reduce the incentive to manipulate the system as of January 1, 2003.  The Interim Settlement approach should be adopted here, and the Comprehensive Settlement proposal to create two hubs should be rejected as nothing more than a "attempt to divert more funds from ratepayers to SoCalGas shareholders."  Ex. 102, at 38 (Florio).</w:t>
      </w:r>
    </w:p>
    <w:p>
      <w:pPr>
        <w:pStyle w:val="Heading2"/>
        <w:tabs>
          <w:tab w:val="clear" w:pos="720"/>
        </w:tabs>
        <w:ind w:hanging="0" w:start="0"/>
        <w:rPr/>
      </w:pPr>
      <w:bookmarkStart w:id="59" w:name="__RefHeading___Toc487881571"/>
      <w:r>
        <w:rPr/>
        <w:t>Both the Comprehensive Settlement and the Interim Settlement Would Permit Liberalized Imbalance Trading, but the Comprehensive Settlement Would Compromise Liquidity of the Imbalance Trading Market by Imposing Charges on Trades.</w:t>
      </w:r>
      <w:bookmarkEnd w:id="59"/>
      <w:r>
        <w:rPr/>
        <w:t xml:space="preserve">  </w:t>
      </w:r>
    </w:p>
    <w:p>
      <w:pPr>
        <w:pStyle w:val="BodyText"/>
        <w:spacing w:before="0" w:after="240"/>
        <w:rPr/>
      </w:pPr>
      <w:r>
        <w:rPr/>
        <w:t xml:space="preserve">There is a clear need expand imbalance trading rights.  Currently, imbalance trading rights are very limited.  For example, trades can only involve the amount required to move a customer that is outside of the ten percent tolerance band to within ten percent.  Once a customer is within the tolerance band, imbalance trading is limited to transactions that are small enough to keep the customer within the tolerance band of plus or minus ten percent.  SoCalGas Schedule G-IMB, at 6.  Customers are not allowed to trade OFO imbalances or winter imbalances, and customers are allowed to trade imbalances only between the twenty-fifth and thirtieth days of each month.  </w:t>
      </w:r>
      <w:r>
        <w:rPr>
          <w:u w:val="single"/>
        </w:rPr>
        <w:t>Id</w:t>
      </w:r>
      <w:r>
        <w:rPr/>
        <w:t>.  These restrictions currently limit the liquidity of the imbalance trading market.</w:t>
      </w:r>
    </w:p>
    <w:p>
      <w:pPr>
        <w:pStyle w:val="BodyText"/>
        <w:spacing w:before="0" w:after="240"/>
        <w:rPr/>
      </w:pPr>
      <w:r>
        <w:rPr/>
        <w:t xml:space="preserve">"In order to facilitate the development of a liquid imbalance trading market," the Interim Settlement would permit customers, including SoCalGas' Gas Acquisition Department, to trade away from zero during an imbalance trading period, with customers only being required to be within applicable imbalance tolerances by the end of the imbalance trading period.  Ex. 100, Att. 1, at 13 (ISA § VI.C).  Trading of OFO (including emergency OFO) imbalances and trading of winter imbalances would also be permitted.  </w:t>
      </w:r>
      <w:r>
        <w:rPr>
          <w:u w:val="single"/>
        </w:rPr>
        <w:t>Id.</w:t>
      </w:r>
      <w:r>
        <w:rPr/>
        <w:t xml:space="preserve">, at 14.  Furthermore, customers could begin trading monthly or daily imbalances on the day after the end of the period over which the imbalance was accumulated.  These liberalized imbalance trading provisions are extremely important as measures to facilitate the development of a liquid imbalance trading market.  </w:t>
      </w:r>
    </w:p>
    <w:p>
      <w:pPr>
        <w:pStyle w:val="BodyText"/>
        <w:spacing w:before="0" w:after="240"/>
        <w:rPr/>
      </w:pPr>
      <w:r>
        <w:rPr/>
        <w:t xml:space="preserve">The Comprehensive Settlement would also permit liberalized imbalance trading, but only through ALTRA as the sole source provider of the trading platform for liberalized trading.  "Under the Comprehensive Settlement all balancing entities will be allowed to trade OFO day chips </w:t>
      </w:r>
      <w:r>
        <w:rPr>
          <w:i/>
        </w:rPr>
        <w:t>exclusively</w:t>
      </w:r>
      <w:r>
        <w:rPr/>
        <w:t xml:space="preserve"> on an anonymous trading platform developed for SoCalGas by ALTRA."  Ex. 108, Response 7 (emphasis added).  Traders on the "ALTRA platform will not be required to abide by all the imbalance trading limitations on SoCalGas' tariffs during the trading period."  Ex. 1, at 47 (CSA § 3.3.2.4.2).  Thus, under the Comprehensive Settlement, parties would be permitted to trade their monthly imbalances as they do currently under the current rules, but in order to trade away from zero or to trade OFO or winter imbalances, the customers would be required to trade through ALTRA.  </w:t>
      </w:r>
    </w:p>
    <w:p>
      <w:pPr>
        <w:pStyle w:val="BodyText"/>
        <w:spacing w:before="0" w:after="240"/>
        <w:rPr/>
      </w:pPr>
      <w:r>
        <w:rPr/>
        <w:t xml:space="preserve">There would be a fee for ALTRA trades:  "Each trade will be subject to buyer and to seller transaction fees for each decatherm traded."  Ex. 1, at 46 (CSA § 3.3.2.3.5).  This is directly contrary to the Interim Settlement, which explicitly provided:  "SoCalGas shall not charge any fees for . . . imbalance trading . . . ."  Ex. 100, Att. 1 at 18 (ISA § VIII).  As with fees for trading storage contracts, as discussed above, imposing fees for liberalized imbalance trading would reduce the liquidity of the market, which is contrary to the very purpose of adopting liberalized trading rules.  The point of the rules is to "facilitate the development of a liquid imbalance trading market," Ex. 100, at 13 (ISA § VI.C), but the Comprehensive Settlement would hinder that development by adopting a scheme for imposing transaction fees for each decatherm traded.  </w:t>
      </w:r>
    </w:p>
    <w:p>
      <w:pPr>
        <w:pStyle w:val="BodyText"/>
        <w:spacing w:before="0" w:after="240"/>
        <w:rPr/>
      </w:pPr>
      <w:r>
        <w:rPr/>
        <w:t xml:space="preserve">The purpose of the Comprehensive Settlement transaction fees for imbalance trading is clear:  "SoCalGas will be entitled to retain a share of ALTRA's transaction fees . . .." Ex. 1, at 47 (CSA § 3.3.2.3.6).  Thus, the Comprehensive Settlement takes the Interim Settlement provision for liberalized imbalance trading and turns it into a fee-generating mechanism for SoCalGas, even though doing so will tend to defeat the very purpose of liberalized imbalance trading, namely, to develop a more liquid imbalance trading market. </w:t>
      </w:r>
    </w:p>
    <w:p>
      <w:pPr>
        <w:pStyle w:val="BodyText"/>
        <w:spacing w:before="0" w:after="240"/>
        <w:rPr/>
      </w:pPr>
      <w:r>
        <w:rPr/>
        <w:t xml:space="preserve">The Interim Settlement provisions for liberalized imbalance trading should be adopted, and the Comprehensive Settlement proposal to permit liberalized imbalance trading exclusively through the ALTRA fee-generating platform should be rejected.  </w:t>
      </w:r>
    </w:p>
    <w:p>
      <w:pPr>
        <w:pStyle w:val="Heading2"/>
        <w:tabs>
          <w:tab w:val="clear" w:pos="720"/>
        </w:tabs>
        <w:ind w:hanging="0" w:start="0"/>
        <w:rPr/>
      </w:pPr>
      <w:bookmarkStart w:id="60" w:name="__RefHeading___Toc487881572"/>
      <w:r>
        <w:rPr/>
        <w:t>The Interim Settlement Provision for Indexed Imbalance Charges Should Be Accepted, and the Comprehensive Settlement Provision for Fixed Charges Should Be Rejected.</w:t>
      </w:r>
      <w:bookmarkEnd w:id="60"/>
      <w:r>
        <w:rPr/>
        <w:t xml:space="preserve">  </w:t>
      </w:r>
    </w:p>
    <w:p>
      <w:pPr>
        <w:pStyle w:val="BodyText"/>
        <w:spacing w:before="0" w:after="240"/>
        <w:rPr/>
      </w:pPr>
      <w:r>
        <w:rPr/>
        <w:t>The Interim Settlement provides for indexed imbalance charges.  For example, the OFO and winter balancing imbalance charge is set at 100 percent of the daily index price for spot market gas at the southern California border, and the monthly imbalance charge is set at 50 percent of the average of spot index California border prices for the relevant month.  Ex. 100, Att. 1 at 13 (ISA § VI.B).  By contrast, the Comprehensive Settlement adopts fixed, stated charges.  For example, the OFO penalty would be $1.00/dth.  Ex. 1, at 27 (CSA § 1.5.4).</w:t>
      </w:r>
    </w:p>
    <w:p>
      <w:pPr>
        <w:pStyle w:val="BodyText"/>
        <w:spacing w:before="0" w:after="240"/>
        <w:rPr/>
      </w:pPr>
      <w:r>
        <w:rPr/>
        <w:t>The Interim Settlement approach is superior.  Clearly, with the set charge, if prices rise, (as they are currently), customers may from time-to-time find that they are advantaged by paying the fixed charge rather than trading or staying in balance.  The Interim Settlement provision for indexed penalty charges avoids that possibility and should be adopted.</w:t>
      </w:r>
    </w:p>
    <w:p>
      <w:pPr>
        <w:pStyle w:val="Heading2"/>
        <w:tabs>
          <w:tab w:val="clear" w:pos="720"/>
        </w:tabs>
        <w:ind w:hanging="0" w:start="0"/>
        <w:rPr/>
      </w:pPr>
      <w:bookmarkStart w:id="61" w:name="__RefHeading___Toc487881573"/>
      <w:bookmarkEnd w:id="61"/>
      <w:r>
        <w:rPr/>
        <w:t>Imbalance Charge Revenues Should Go to Customers as Provided in the Interim Settlement Rather Than to SoCalGas as Provided in the Comprehensive Settlement.</w:t>
      </w:r>
    </w:p>
    <w:p>
      <w:pPr>
        <w:pStyle w:val="BodyText"/>
        <w:spacing w:before="0" w:after="240"/>
        <w:rPr/>
      </w:pPr>
      <w:r>
        <w:rPr/>
        <w:t xml:space="preserve">SoCalGas should not be permitted to benefit from imbalance charges.  To permit SoCalGas to retain imbalance charges would result in an incentive for SoCalGas to operate the system so as to cause customers to incur imbalances.  It is bad enough that SoCalGas has the incentive to operate the system so as to manipulate customers to take storage or hub services.  </w:t>
      </w:r>
    </w:p>
    <w:p>
      <w:pPr>
        <w:pStyle w:val="BodyText"/>
        <w:spacing w:before="0" w:after="240"/>
        <w:rPr/>
      </w:pPr>
      <w:r>
        <w:rPr/>
        <w:t>The Interim Settlement would properly prevent SoCalGas from retaining imbalance charge revenues:  "Imbalance charge revenues will be applied to reduce customer transportation rates on an equal cents per therm basis."  Ex. 100, Att. 1, at 13 (ISA § VI.B).  The Comprehensive Settlement, however, takes the opposite approach.  SoCalGas would be able to retain the revenues received as a result of customers being out of balance.</w:t>
      </w:r>
    </w:p>
    <w:p>
      <w:pPr>
        <w:pStyle w:val="BodyText"/>
        <w:spacing w:before="0" w:after="240"/>
        <w:rPr/>
      </w:pPr>
      <w:r>
        <w:rPr/>
        <w:t xml:space="preserve">As discussed above, SoCalGas will assess fixed imbalance charges for customers that are out of balance at the end of OFO events.  Ex. 1, at 27 (CSA § 1.5.4).  Also, customers will be permitted to cash-out monthly imbalances as they do currently, although with SoCalGas Gas Operations rather than Gas Acquisition buying the imbalance gas.  Ex. 1, at 40 (CSA § 3.1.3).  Given that buy-backs of imbalance gas will be at 50 percent and sales of imbalance gas will be at 150 percent of the average southern California border price during the imbalance period, </w:t>
      </w:r>
      <w:r>
        <w:rPr>
          <w:u w:val="single"/>
        </w:rPr>
        <w:t>id</w:t>
      </w:r>
      <w:r>
        <w:rPr/>
        <w:t xml:space="preserve">., it is likely that Gas Operations will be able to derive a nice profit from the buy-back or sale of monthly imbalance gas.  </w:t>
      </w:r>
      <w:r>
        <w:rPr>
          <w:u w:val="single"/>
        </w:rPr>
        <w:t>Id.</w:t>
      </w:r>
      <w:r>
        <w:rPr/>
        <w:t xml:space="preserve">  </w:t>
      </w:r>
    </w:p>
    <w:p>
      <w:pPr>
        <w:pStyle w:val="BodyText"/>
        <w:spacing w:before="0" w:after="240"/>
        <w:rPr/>
      </w:pPr>
      <w:r>
        <w:rPr/>
        <w:t>The Comprehensive Settlement provides that SoCalGas shall be entitled to retain both the fixed imbalance fees and the net revenues derived from the sale or purchase of gas beyond monthly balancing tolerances to help cover the actual revenue requirement associated with implementing the Comprehensive Settlement.  Ex. 1, at 2 (CSA § 1.6.1).  This permits SoCalGas to benefit directly from customers being out of balance.  That improperly gives SoCalGas the incentive to operate the system so as to have customers incur imbalances.  That incentive should not be permitted, and the Interim Settlement provision should be adopted.</w:t>
      </w:r>
    </w:p>
    <w:p>
      <w:pPr>
        <w:pStyle w:val="Heading2"/>
        <w:tabs>
          <w:tab w:val="clear" w:pos="720"/>
        </w:tabs>
        <w:ind w:hanging="0" w:start="0"/>
        <w:rPr/>
      </w:pPr>
      <w:bookmarkStart w:id="62" w:name="__RefHeading___Toc487881574"/>
      <w:r>
        <w:rPr/>
        <w:t>Both the Interim and Post-Interim Settlements and the Comprehensive Settlement Provide for Pooling, but the Comprehensive Settlement Reduces Liquidity by Being More Restrictive.</w:t>
      </w:r>
      <w:bookmarkEnd w:id="62"/>
      <w:r>
        <w:rPr/>
        <w:t xml:space="preserve">  </w:t>
      </w:r>
    </w:p>
    <w:p>
      <w:pPr>
        <w:pStyle w:val="BodyText"/>
        <w:spacing w:before="0" w:after="240"/>
        <w:rPr/>
      </w:pPr>
      <w:r>
        <w:rPr/>
        <w:t xml:space="preserve">One of the most important features of the Interim Settlement was the provision permitting pools of on-system transportation gas to be created on the SoCalGas system.  This provision would create an entirely new intrastate market for natural gas.  Pools allow intrastate trading of gas supplies without the trading parties being required to change upstream pipeline transportation arrangements.  Thus, pools provide a mechanism through which customers may trade gas easily on an intra-day basis to avoid imbalances.  This reduces costs for buyers and sellers alike.  </w:t>
      </w:r>
    </w:p>
    <w:p>
      <w:pPr>
        <w:pStyle w:val="BodyText"/>
        <w:spacing w:before="0" w:after="240"/>
        <w:rPr/>
      </w:pPr>
      <w:r>
        <w:rPr/>
        <w:t xml:space="preserve">Importantly, pools are a competitive alternative to SoCalGas' hub and storage services.  This is critical, insofar as the other candidates for providing competition </w:t>
      </w:r>
      <w:r>
        <w:rPr>
          <w:rFonts w:eastAsia="Symbol" w:cs="Symbol" w:ascii="Symbol" w:hAnsi="Symbol"/>
        </w:rPr>
        <w:sym w:font="Symbol" w:char="f0be"/>
      </w:r>
      <w:r>
        <w:rPr/>
        <w:t xml:space="preserve"> the northern California storage facilities, the secondary market, and flowing supply </w:t>
      </w:r>
      <w:r>
        <w:rPr>
          <w:rFonts w:eastAsia="Symbol" w:cs="Symbol" w:ascii="Symbol" w:hAnsi="Symbol"/>
        </w:rPr>
        <w:sym w:font="Symbol" w:char="f0be"/>
      </w:r>
      <w:r>
        <w:rPr/>
        <w:t xml:space="preserve"> are likely to be woefully lacking, as discussed above.  Thus, it is important that the pooling market be as highly liquid as possible.  </w:t>
      </w:r>
    </w:p>
    <w:p>
      <w:pPr>
        <w:pStyle w:val="BodyText"/>
        <w:spacing w:before="0" w:after="240"/>
        <w:rPr/>
      </w:pPr>
      <w:r>
        <w:rPr/>
        <w:t>The pooling proposal attached to the Interim Settlement at Appendix D would provide for a more liquid pooling market than the pooling proposal attached to the Comprehensive Settlement at Appendix E.  The Interim Settlement proposal provides customers with more flexibility.  Under the Interim Settlement proposal, pools would not be required to balance during the first of the four nomination cycles that occur over a 48-hour period for each flow day, although pools would be required to be in balance for the second through fourth cycles:</w:t>
      </w:r>
    </w:p>
    <w:p>
      <w:pPr>
        <w:pStyle w:val="SingleIndent"/>
        <w:rPr/>
      </w:pPr>
      <w:r>
        <w:rPr/>
        <w:t>Pools will not be required to balance during the Timely Nomination (first) cycle, but will be required to balance during each of the subsequent gas scheduling cycles each day.  Pool balancing will be conducted during the nomination and confirmation process.</w:t>
      </w:r>
    </w:p>
    <w:p>
      <w:pPr>
        <w:pStyle w:val="BodyText"/>
        <w:spacing w:before="0" w:after="240"/>
        <w:ind w:hanging="0" w:end="0"/>
        <w:rPr/>
      </w:pPr>
      <w:r>
        <w:rPr/>
        <w:t>Ex. 100, App. D, at 2.  By contrast, the Comprehensive Settlement provides as follows:</w:t>
      </w:r>
    </w:p>
    <w:p>
      <w:pPr>
        <w:pStyle w:val="SingleIndent"/>
        <w:rPr/>
      </w:pPr>
      <w:r>
        <w:rPr/>
        <w:t>Pools will be required to balance during each of the gas scheduling cycles each day.  Pool balancing will be conducted during the nomination and confirmation process.</w:t>
      </w:r>
    </w:p>
    <w:p>
      <w:pPr>
        <w:pStyle w:val="BodyText"/>
        <w:spacing w:before="0" w:after="240"/>
        <w:ind w:hanging="0" w:end="0"/>
        <w:rPr/>
      </w:pPr>
      <w:r>
        <w:rPr/>
        <w:t>Ex. 1, App. E, at 2.  Otherwise, the pooling proposals contained in the Interim Settlement and Comprehensive Settlement are identical.</w:t>
      </w:r>
    </w:p>
    <w:p>
      <w:pPr>
        <w:pStyle w:val="BodyText"/>
        <w:spacing w:before="0" w:after="240"/>
        <w:rPr/>
      </w:pPr>
      <w:r>
        <w:rPr/>
        <w:t xml:space="preserve">Insofar as the Interim Settlement proposal provides more flexibility to customers and, thus, would result in a more liquid pooling market that would provide enhanced competition with the SoCalGas storage and hub services, the Interim Settlement pooling proposal should be adopted rather than the Comprehensive Settlement proposal.  </w:t>
      </w:r>
    </w:p>
    <w:p>
      <w:pPr>
        <w:pStyle w:val="Heading1"/>
        <w:tabs>
          <w:tab w:val="clear" w:pos="720"/>
        </w:tabs>
        <w:ind w:hanging="0" w:start="0"/>
        <w:rPr/>
      </w:pPr>
      <w:bookmarkStart w:id="63" w:name="__RefHeading___Toc487881575"/>
      <w:bookmarkEnd w:id="63"/>
      <w:r>
        <w:rPr/>
        <w:t>Curtailment:  The Comprehensive Settlement Proposal to Eliminate the Service Interruption Credit Would Eliminate SoCalGas' Incentive to Expand the System to Avoid Curtailment</w:t>
      </w:r>
      <w:r>
        <w:rPr>
          <w:u w:val="none"/>
        </w:rPr>
        <w:t>.</w:t>
      </w:r>
    </w:p>
    <w:p>
      <w:pPr>
        <w:pStyle w:val="BodyText"/>
        <w:spacing w:before="0" w:after="240"/>
        <w:rPr/>
      </w:pPr>
      <w:r>
        <w:rPr/>
        <w:t>Nothing in the Comprehensive Settlement or, for that matter, the Interim and Post-Interim Settlements eliminates SoCalGas' obligation to provide firm intrastate gas transportation service to customers that desire it, and nothing eliminates the need for SoCalGas to be provided with an incentive to install such facilities as may be necessary from time-to-time to maintain the quality of such service and to avoid a repeat of the curtailments of the 1980s.  Yet, in a provision that is extraneous to the rest of the provisions of the Comprehensive Settlement, the Comprehensive Settlement eliminates the Service Interruption Credit ("SIC").  The SIC was adopted after the end of the 1980s to provide SoCalGas with such an incentive and to assure customers, primarily the electric generator customers that were most adversely affected by the curtailments of the 1980s, that SoCalGas would install such facilities as may be necessary from time to time to maintain firm transportation service to customers that require it.  The Comprehensive Settlement's elimination of the SIC is nothing more than a give-away to SoCalGas that is unrelated to the rest of the Comprehensive Settlement and serves no purpose other than that of being a punitive measure that harms non-participants in the settlement.</w:t>
      </w:r>
    </w:p>
    <w:p>
      <w:pPr>
        <w:pStyle w:val="BodyText"/>
        <w:spacing w:before="0" w:after="240"/>
        <w:rPr/>
      </w:pPr>
      <w:r>
        <w:rPr/>
        <w:t xml:space="preserve">The SIC was proposed to the Commission in the "Capacity Brokering Settlement."  D.91-11-025, slip op. at 29-31 (November 6, 1991).  Under the SIC provisions, if a firm intrastate transmission customer experiences more than one curtailment during a 10-year period, SoCalGas is required to provide the customer with a service interruption credit of $0.25 per therm of gas that was curtailed.  The maximum aggregate SIC obligation of SoCalGas for any calendar year is limited to $5 million.  SoCalGas Tariff, Rule No. 23.L; D.91-11-025, </w:t>
      </w:r>
      <w:r>
        <w:rPr>
          <w:u w:val="single"/>
        </w:rPr>
        <w:t>id</w:t>
      </w:r>
      <w:r>
        <w:rPr/>
        <w:t>., App. B, at 15.</w:t>
      </w:r>
    </w:p>
    <w:p>
      <w:pPr>
        <w:pStyle w:val="BodyText"/>
        <w:spacing w:before="0" w:after="240"/>
        <w:rPr/>
      </w:pPr>
      <w:r>
        <w:rPr/>
        <w:t>In adopting the SIC provision, the Commission recognized that the purpose of the provision was to ensure that SoCalGas would have an incentive to invest in facilities that would be necessary to avoid curtailment of firm intrastate transmission service customers:  "The purpose of the mechanism is to ensure customers that firm intrastate service is a highly reliable service."  D.91-11-025, at 29.</w:t>
      </w:r>
    </w:p>
    <w:p>
      <w:pPr>
        <w:pStyle w:val="BodyText"/>
        <w:spacing w:before="0" w:after="240"/>
        <w:rPr/>
      </w:pPr>
      <w:r>
        <w:rPr/>
        <w:t>Maintenance of highly reliable intrastate transmission service was particularly important to SoCalGas' Utilities Electric Generation ("UEG") customers that had borne the brunt of the 1980's curtailments.  The Commission noted TURN's comment that the SIC was necessary to assure that southern California UEG's would not have to invest in costly alternative fuel facilities.  Also, the Commission noted Southern California Edison Company ("Edison") comments that electric generators need the assurance provided by the SIC because of the increased stringency of air quality regulations under which Southern California UEGs operate.  No party opposed the SIC.  D.91-11-025, at 29.</w:t>
      </w:r>
    </w:p>
    <w:p>
      <w:pPr>
        <w:pStyle w:val="BodyText"/>
        <w:spacing w:before="0" w:after="240"/>
        <w:rPr/>
      </w:pPr>
      <w:r>
        <w:rPr/>
        <w:t xml:space="preserve">Apparently, the SIC has worked.  Ex. 102, at 39 (Florio).  There have been no reoccurrences of the curtailments that were chronic during the late 1980s.  </w:t>
      </w:r>
      <w:r>
        <w:rPr>
          <w:u w:val="single"/>
        </w:rPr>
        <w:t>Id.</w:t>
      </w:r>
      <w:r>
        <w:rPr/>
        <w:t xml:space="preserve">  SoCalGas should continue to be provided with an incentive to maintain a level of capacity that is adequate to provide firm transportation service to customers that require it.  There has been no weakening of South Coast Air Quality Management District air quality regulations applicable to, particularly, electric generators, and these customers should not be forced to choose between providing the highly reliable electric generation service that California requires and installing alternative fuel facilities that could be used only in the event of an emergency such as a curtailment, and then only in a highly restricted manner as permitted by air quality regulations.</w:t>
      </w:r>
    </w:p>
    <w:p>
      <w:pPr>
        <w:pStyle w:val="Heading1"/>
        <w:tabs>
          <w:tab w:val="clear" w:pos="720"/>
        </w:tabs>
        <w:ind w:hanging="0" w:start="0"/>
        <w:rPr>
          <w:u w:val="none"/>
        </w:rPr>
      </w:pPr>
      <w:bookmarkStart w:id="64" w:name="__RefHeading___Toc487881576"/>
      <w:bookmarkEnd w:id="64"/>
      <w:r>
        <w:rPr/>
        <w:t>Wheeler Ridge:  The Commission Should Reject the Comprehensive Settlement's Collateral Attempt to Reverse the Commission’s Recent Decision in the 1999 SoCalGas BCAP to Require that Ratepayers Get Consideration in Return for the Rescission or Suspension of Wheeler Ridge Access Agreements</w:t>
      </w:r>
      <w:r>
        <w:rPr>
          <w:u w:val="none"/>
        </w:rPr>
        <w:t>.</w:t>
      </w:r>
    </w:p>
    <w:p>
      <w:pPr>
        <w:pStyle w:val="BodyText"/>
        <w:spacing w:before="0" w:after="240"/>
        <w:rPr/>
      </w:pPr>
      <w:r>
        <w:rPr/>
        <w:t>The Comprehensive Settlement would relieve both Edison and SDG&amp;E of their contractual obligations to make payments to SoCalGas under their Wheeler Ridge Access Agreements.  SoCalGas’ Wheeler Ridge Access Agreement with Edison would be canceled outright as of the effective date for “unbundling” backbone transmission rights on October 1, 2001, and SDG&amp;E’s Wheeler Ridge Access Agreement would be suspended from October 1, 2001 until October 31, 2006.  Ex. 1, at 17 (CSA §1.1.3.6.6).  This provision conflicts directly with the Commission’s recent decision in D.00-04-060 to require SDG&amp;E and Edison either to continue making payments under the Wheeler Ridge Access Agreements or, if they desire rescission of their contracts, to provide consideration “for any release of potential ratepayer benefits” that ratepayers derive from the contracts.  D.00-04-060, slip op. at 70.</w:t>
      </w:r>
    </w:p>
    <w:p>
      <w:pPr>
        <w:pStyle w:val="BodyText"/>
        <w:spacing w:before="0" w:after="240"/>
        <w:rPr/>
      </w:pPr>
      <w:r>
        <w:rPr/>
        <w:t xml:space="preserve">SoCalGas has long-term contracts for firm access at Wheeler Ridge with Edison and SDG&amp;E.  The contract with Edison provides for firm access of 198,863 dth per day.  The contract with SDG&amp;E provides for firm access of 51,932 dth per day.  Ex. 102, at 39-40 (Yap).  The contracts will expire on October 31, 2006.  Assuming that there is no change to the current demand charge billed under the contracts, SDG&amp;E’s remaining obligation is $1.4 million and Edison’s obligation is $5.4 million.  </w:t>
      </w:r>
      <w:r>
        <w:rPr>
          <w:u w:val="single"/>
        </w:rPr>
        <w:t>Id.</w:t>
      </w:r>
    </w:p>
    <w:p>
      <w:pPr>
        <w:pStyle w:val="BodyText"/>
        <w:spacing w:before="0" w:after="240"/>
        <w:rPr/>
      </w:pPr>
      <w:r>
        <w:rPr/>
        <w:t>In the 1999 SoCalGas BCAP, SoCalGas proposed to “roll in” the costs of the Wheeler Ridge Access facilities with SoCalGas’ overall transmission revenue requirement and to cease billing a separate charge for Wheeler Ridge access.  SoCalGas, also, proposed to cancel the Edison and SDG&amp;E Wheeler Ridge Access Agreements, unilaterally eliminating any obligation that Edison and SDG&amp;E have to make remaining payments under those agreements.</w:t>
      </w:r>
    </w:p>
    <w:p>
      <w:pPr>
        <w:pStyle w:val="BodyText"/>
        <w:spacing w:before="0" w:after="240"/>
        <w:rPr/>
      </w:pPr>
      <w:r>
        <w:rPr/>
        <w:t>The Commission approved rolled-in rate treatment for the Wheeler Ridge Access facilities in D.00-04-060, but the Commission rejected SoCalGas’ proposal to unilaterally forgive the obligations that Edison and SDG&amp;E have to make payments under their access agreements:</w:t>
      </w:r>
    </w:p>
    <w:p>
      <w:pPr>
        <w:pStyle w:val="Quote"/>
        <w:rPr/>
      </w:pPr>
      <w:r>
        <w:rPr/>
        <w:t>We see no need to condition our authorization of rolled-in costs at the Wheeler Ridge facilities into overall transportation rates upon termination, buy-out, or modification of SDG&amp;E’s and SCE’s contracts.  SDG&amp;E desires to continue its contract; we have no evidence of a compelling reason why it shouldn’t.  SCE desires to terminate its contract; we have no evidence why that desire should affect our decision to roll-in costs.  SoCalGas and SCE may rescind their contract, but only if there is consideration for any release of potential ratepayer benefits.</w:t>
      </w:r>
    </w:p>
    <w:p>
      <w:pPr>
        <w:pStyle w:val="BodyText"/>
        <w:spacing w:before="0" w:after="240"/>
        <w:ind w:hanging="0" w:end="0"/>
        <w:rPr/>
      </w:pPr>
      <w:r>
        <w:rPr/>
        <w:t>D.00-04-060, slip op. at 70.  Thus, the Commission required that Edison and SDG&amp;E continue to make payments under their contracts, absent consideration being paid “for any release of potential ratepayer benefits” that other ratepayers may derive as a result of Edison and SDG&amp;E making their contractually-specified payments to SoCalGas.  Neither Edison nor SDG&amp;E filed applications for rehearing of the Commission’s decision, which was implemented on June 1, 2000.</w:t>
      </w:r>
    </w:p>
    <w:p>
      <w:pPr>
        <w:pStyle w:val="BodyText"/>
        <w:spacing w:before="0" w:after="240"/>
        <w:rPr/>
      </w:pPr>
      <w:r>
        <w:rPr/>
        <w:t>Now, having failed to apply for rehearing, SDG&amp;E and Edison, through the Comprehensive Settlement, collaterally attack the Commission’s decision to require SoCalGas to enforce the Wheeler Ridge Access Agreements by providing for cancellation of Edison’s agreement and suspension of SDG&amp;E’s agreement until August 31, 2006.  No rationale is provided for the rescission and suspension of the Edison and SDG&amp;E agreements without compensation other than it is a deal point in the Settlement.</w:t>
      </w:r>
    </w:p>
    <w:p>
      <w:pPr>
        <w:pStyle w:val="BodyText"/>
        <w:spacing w:before="0" w:after="240"/>
        <w:rPr/>
      </w:pPr>
      <w:r>
        <w:rPr/>
        <w:t>If SoCalGas, Edison or SDG&amp;E disagreed with the Commission’s decision in D.00-04-060, they should have raised their objections in a timely application for rehearing.  Having failed to do so, they should be required to abide by the Commission’s decision that, unless Edison and SDG&amp;E continue with their contracts, they must pay consideration “for any release of potential ratepayer benefits” in return for rescission or suspension of the Agreements.</w:t>
      </w:r>
    </w:p>
    <w:p>
      <w:pPr>
        <w:pStyle w:val="Heading1"/>
        <w:tabs>
          <w:tab w:val="clear" w:pos="720"/>
        </w:tabs>
        <w:ind w:hanging="0" w:start="0"/>
        <w:rPr>
          <w:u w:val="none"/>
        </w:rPr>
      </w:pPr>
      <w:bookmarkStart w:id="65" w:name="__RefHeading___Toc487881577"/>
      <w:bookmarkEnd w:id="65"/>
      <w:r>
        <w:rPr/>
        <w:t>CTA Interstate Pipeline Costs:  Both the Post-Interim Settlement and the Comprehensive Settlement Unbundle Interstate Pipeline Costs for CTAs, but the Comprehensive Settlement Results in a Subsidy of CTAs Which Is both Excessive and Disproportionately Borne by Ratepayer Classes that Benefit the Least from CTA Service</w:t>
      </w:r>
      <w:r>
        <w:rPr>
          <w:u w:val="none"/>
        </w:rPr>
        <w:t>.</w:t>
      </w:r>
    </w:p>
    <w:p>
      <w:pPr>
        <w:pStyle w:val="BodyText"/>
        <w:spacing w:before="0" w:after="240"/>
        <w:rPr/>
      </w:pPr>
      <w:r>
        <w:rPr/>
        <w:t>Both the Post-Interim Settlement and the Comprehensive Settlement would unbundle interstate pipeline capacity costs for CTAs, but the settlements differ radically in both the degree to which they permit the unbundling to result in a subsidy of CTAs and the degree to which they target the burden of the subsidy to ratepayer classes that benefit the least from CTA service.  The Post-Interim Settlement limits both the amount of the cost shift and the degree to which the burden of the cost shift would fall on noncore and residential ratepayers.  The Comprehensive Settlement, on the other hand, allows unbundling of interstate pipeline capacity to turn into a much larger subsidy of CTAs borne primarily by precisely the noncore and residential customer classes that benefit the least from CTA service.</w:t>
      </w:r>
    </w:p>
    <w:p>
      <w:pPr>
        <w:pStyle w:val="BodyText"/>
        <w:spacing w:before="0" w:after="240"/>
        <w:rPr/>
      </w:pPr>
      <w:r>
        <w:rPr/>
        <w:t xml:space="preserve">The philosophy underlying the Post-Interim Settlement is to allow and encourage competition within the core market but not to significantly subsidize competitors.  </w:t>
      </w:r>
      <w:r>
        <w:rPr>
          <w:u w:val="single"/>
        </w:rPr>
        <w:t>Id</w:t>
      </w:r>
      <w:r>
        <w:rPr/>
        <w:t>.  “Encouraging competition should not mean subsidizing competitors, especially when those competitors are under no obligation to pass such subsidies along to their ultimate customers.”  Ex. 102, at 41(Florio).  The Comprehensive Settlement, on the other hand, allows unbundling of interstate pipeline capacity to turn into a windfall for CTAs with no assurance that competition will benefit or that customers will see any more of the subsidy than they would if the more measured Post-Interim Settlement approach were adopted.</w:t>
      </w:r>
    </w:p>
    <w:p>
      <w:pPr>
        <w:pStyle w:val="Heading2"/>
        <w:tabs>
          <w:tab w:val="clear" w:pos="720"/>
        </w:tabs>
        <w:ind w:hanging="0" w:start="0"/>
        <w:rPr/>
      </w:pPr>
      <w:bookmarkStart w:id="66" w:name="__RefHeading___Toc487881578"/>
      <w:bookmarkEnd w:id="66"/>
      <w:r>
        <w:rPr/>
        <w:t>The Comprehensive Settlement Would Result in a Much Larger Subsidy to the CTAs than the Post-Interim Settlement.</w:t>
      </w:r>
    </w:p>
    <w:p>
      <w:pPr>
        <w:pStyle w:val="BodyText"/>
        <w:spacing w:before="0" w:after="240"/>
        <w:rPr/>
      </w:pPr>
      <w:r>
        <w:rPr/>
        <w:t xml:space="preserve">The Post-Interim Settlement and Comprehensive Settlement differ dramatically in the amount of the subsidy that CTAs would get as a result of unbundling interstate transmission costs.  The annual cost of the core interstate pipeline capacity reservation of 1,044 MMcf/d is roughly $125 million.  Ex. 102, at 41(Florio).  Assuming a 10 percent overall market share for CTAs, the total pipeline demand charges that would be unbundled by both settlements would be approximately $12.5 million per year.  Insofar as the market price that SoCalGas is able to obtain by brokering the pipeline capacity that CTAs no longer use is likely to be below the level of the demand charges that SoCalGas is obligated to pay interstate pipelines, unbundling the $12.5 million per year for CTAs will almost inevitably “strand” some of the costs incurred by SoCalGas in paying the demand charges. </w:t>
      </w:r>
      <w:r>
        <w:rPr>
          <w:u w:val="single"/>
        </w:rPr>
        <w:t>Id.</w:t>
      </w:r>
      <w:r>
        <w:rPr/>
        <w:t xml:space="preserve">  Assuming that capacity can be brokered by SoCalGas at roughly 50 percent of the pipeline tariff rate, which is consistent with recent experience, the stranded costs resulting from CTA unbundling would amount to approximately $6.25 million per year, again, assuming a ten percent CTA market share.  </w:t>
      </w:r>
      <w:r>
        <w:rPr>
          <w:u w:val="single"/>
        </w:rPr>
        <w:t>Id.</w:t>
      </w:r>
    </w:p>
    <w:p>
      <w:pPr>
        <w:pStyle w:val="BodyText"/>
        <w:spacing w:before="0" w:after="240"/>
        <w:rPr/>
      </w:pPr>
      <w:r>
        <w:rPr/>
        <w:t>Under the Post-Interim Settlement, the stranded costs that result from CTA unbundling would be allocated 50/50 between CTA customers and bundled core sales customers.  Ex. 101, at 7 (PSA § 4.3.1).  Thus, under the Post-Interim Settlement, bundled core sales customers would be required to pay approximately $3.125 million to cover stranded costs attributable to unbundling interstate pipeline capacity for CTAs, and CTAs would conversely receive a subsidy of $3.125 million.</w:t>
      </w:r>
    </w:p>
    <w:p>
      <w:pPr>
        <w:pStyle w:val="BodyText"/>
        <w:spacing w:before="0" w:after="240"/>
        <w:rPr/>
      </w:pPr>
      <w:r>
        <w:rPr/>
        <w:t xml:space="preserve">The subsidy would be nearly doubled under the Comprehensive Settlement.  During the two years prior to December 31, 2001, the cost of unbundling interstate pipeline capacity for the CTAs would be allocated 50/50 between core and noncore, subject to a noncore cap of $2 million in 2000 and $5 million in 2001.  The core's share would be allocated to core bundled sales customers and CTA customers equally.  Ex. 1, at 55 (CSA </w:t>
      </w:r>
      <w:r>
        <w:rPr>
          <w:rFonts w:eastAsia="WP TypographicSymbols" w:cs="WP TypographicSymbols" w:ascii="WP TypographicSymbols" w:hAnsi="WP TypographicSymbols"/>
        </w:rPr>
        <w:sym w:font="WP TypographicSymbols" w:char="f027"/>
      </w:r>
      <w:r>
        <w:rPr/>
        <w:t> 5.3.3.5).  Again, assuming a 10 percent CTA market share and brokering at 50 percent of the tariff rate, during 2000 the noncore would pay the cap amount of $2 million, and the core would pay approximately $4.25 million.  CTA customers would pay only 10 percent of the core amount, or $425,000.  Thus, the CTAs would get a subsidy of $5.825 million ($2 million from noncore customers and $3.825 million from core bundled sales customers), nearly twice the subsidy permitted under the Post-Interim Settlement.</w:t>
      </w:r>
    </w:p>
    <w:p>
      <w:pPr>
        <w:pStyle w:val="BodyText"/>
        <w:spacing w:before="0" w:after="240"/>
        <w:rPr/>
      </w:pPr>
      <w:r>
        <w:rPr/>
        <w:t>The subsidy derived by the CTAs would go up in 2001.  Given that the noncore cap increases to $5 million, the core and noncore each would bear $3.125 million annually in stranded costs.  The CTAs’ share of the core portion would be 10 percent, or $312,500, with bundled sales customers picking up $2.8 million.  Thus, the Comprehensive Settlement subsidy received by CTAs in 2001 would increase to more than $5.9 million, again nearly twice the subsidy under the Post-Interim Settlement.</w:t>
      </w:r>
    </w:p>
    <w:p>
      <w:pPr>
        <w:pStyle w:val="BodyText"/>
        <w:spacing w:before="0" w:after="240"/>
        <w:rPr/>
      </w:pPr>
      <w:r>
        <w:rPr/>
        <w:t>As of 2002, the noncore contribution to cover CTA costs would be eliminated.  The stranded costs associated with the release of the first 7 percent of interstate pipeline capacity held for the core market (</w:t>
      </w:r>
      <w:r>
        <w:rPr>
          <w:u w:val="single"/>
        </w:rPr>
        <w:t>i.e.</w:t>
      </w:r>
      <w:r>
        <w:rPr/>
        <w:t xml:space="preserve">, 7 percent of 1,044 MMcf/d ) would be allocated to all core customers on an equal cents per therm basis.  Ex. 1, at 56 (CSA </w:t>
      </w:r>
      <w:r>
        <w:rPr>
          <w:rFonts w:eastAsia="WP TypographicSymbols" w:cs="WP TypographicSymbols" w:ascii="WP TypographicSymbols" w:hAnsi="WP TypographicSymbols"/>
        </w:rPr>
        <w:sym w:font="WP TypographicSymbols" w:char="f027"/>
      </w:r>
      <w:r>
        <w:rPr/>
        <w:t> 5.3.3.5).  Stranded costs associated with any amount of core interstate capacity released in excess of 7 percent would be allocated between residential and commercial/industrial (“C/I”) classes on the basis of the ratio of participation in the CTA program, which in recent years has been approximately 15 percent/85 percent.  Ex. 102, at 41(Florio).  Again, assuming a total of about $6.25 million in CTA stranded costs and 10 CTA percent market penetration, roughly the first $4.4 million of such costs would be allocated to all core customers on an equal cents per therm basis, with the balance being allocated on a 15 percent/85 percent ratio between the residential and C/I classes.  The result would be that slightly more of the total stranded cost of $6.25 million would be paid by the CTA customers than before.  CTAs would bear 10 percent of the stranded cost, or $625,000, but they would still get a subsidy of roughly $5.6 million, Ex. 102, at 43 (Florio), a subsidy that still approaches being twice the subsidy that would be permitted under the Post-Interim Settlement.</w:t>
      </w:r>
    </w:p>
    <w:p>
      <w:pPr>
        <w:pStyle w:val="Heading2"/>
        <w:tabs>
          <w:tab w:val="clear" w:pos="720"/>
        </w:tabs>
        <w:ind w:hanging="0" w:start="0"/>
        <w:rPr/>
      </w:pPr>
      <w:bookmarkStart w:id="67" w:name="__RefHeading___Toc487881579"/>
      <w:bookmarkEnd w:id="67"/>
      <w:r>
        <w:rPr/>
        <w:t>The Comprehensive Settlement Would Recover a Disproportionate Amount of the CTA Subsidy from Classes that Receive Little or No Benefit from the CTA Program.</w:t>
      </w:r>
    </w:p>
    <w:p>
      <w:pPr>
        <w:pStyle w:val="BodyText"/>
        <w:spacing w:before="0" w:after="240"/>
        <w:rPr/>
      </w:pPr>
      <w:r>
        <w:rPr/>
        <w:t>In addition to nearly doubling the subsidy that CTAs would get, the Comprehensive Settlement disproportionately imposes the burden of the subsidy on customer classes that do not benefit from the CTA program.  In the Post-Interim Settlement, the $3 million in stranded costs that would be borne by bundled sales customers would be allocated between residential and C/I customers annually based on the 15/85 ratio of participation in the CTA program.  This approach is reasonable:  "It reflects the relative split of any 'competitive benefit' that the two classes might realize as a result of the existence of the CTA program."  Ex. 102, at 42 (Florio).  As a result, bundled residential customers would pay only about half a million dollars per year, with bundled C/I customers bearing approximately $2.7 million.  By contrast, for example, in year two of the Comprehensive Settlement, given the assumptions about 10 percent CTA market share and brokered capacity being sold for 50 percent of the pipeline tariff rate, C/I customers, which are the ones that receive the primary benefit from the CTA program, would bear only approximately $700,000 in stranded costs.  Residential customers, which receive little benefit, would pay $2.1 million.  Noncore customers, which receive virtually no benefit at all, would pay $3.125 million.</w:t>
      </w:r>
    </w:p>
    <w:p>
      <w:pPr>
        <w:pStyle w:val="BodyText"/>
        <w:spacing w:before="0" w:after="240"/>
        <w:rPr/>
      </w:pPr>
      <w:r>
        <w:rPr/>
        <w:t>In 2002, the noncore contribution would cease, but the residential contribution, given the same market assumptions, would go up by more than 70 percent to $3.6 million, substantially exceeding the contribution made by the bundled C/I customers and exceeding by more than 80 percent the stranded costs borne by the CTAs customers themselves.</w:t>
      </w:r>
    </w:p>
    <w:p>
      <w:pPr>
        <w:pStyle w:val="Heading2"/>
        <w:tabs>
          <w:tab w:val="clear" w:pos="720"/>
        </w:tabs>
        <w:ind w:hanging="0" w:start="0"/>
        <w:rPr/>
      </w:pPr>
      <w:bookmarkStart w:id="68" w:name="__RefHeading___Toc487881580"/>
      <w:bookmarkEnd w:id="68"/>
      <w:r>
        <w:rPr/>
        <w:t>The Magnitude of the Comprehensive Settlement CTA Subsidy Is Unnecessarily Excessive.</w:t>
      </w:r>
    </w:p>
    <w:p>
      <w:pPr>
        <w:pStyle w:val="BodyText"/>
        <w:spacing w:before="0" w:after="240"/>
        <w:rPr/>
      </w:pPr>
      <w:r>
        <w:rPr/>
        <w:t xml:space="preserve">The CTAs have contended that they need a cross-subsidy in order to permit there to be “savings” to be shared between the CTAs and their customers.  Of course, what would be “shared,” to the extent that it would be shared at all with the CTA customers, would be the subsidy rather than any savings viewed from a system-wide perspective.  </w:t>
      </w:r>
    </w:p>
    <w:p>
      <w:pPr>
        <w:pStyle w:val="BodyText"/>
        <w:spacing w:before="0" w:after="240"/>
        <w:rPr/>
      </w:pPr>
      <w:r>
        <w:rPr/>
        <w:t>Under the Interim Settlement, assuming a 10 percent market share and sales of unbundled capacity at 50 percent of the interstate pipeline tariff rate, the cross-subsidy of $3 million that CTAs would receive from bundled core sales customers would result in a subsidy of approximately 9.2 cents per dth, assuming 1999 SoCalGas BCAP throughput figures, D.00-04-060, App. D., Table 11.  The Comprehensive Settlement would result in a cross-subsidy of approaching twice that.</w:t>
      </w:r>
    </w:p>
    <w:p>
      <w:pPr>
        <w:pStyle w:val="BodyText"/>
        <w:spacing w:before="0" w:after="240"/>
        <w:rPr/>
      </w:pPr>
      <w:r>
        <w:rPr/>
        <w:t>Of course, storage costs would be unbundled as well.  Under the Comprehensive Settlement, if a CTA rejected both the reliability and non-reliability storage, the CTA could realize the benefit of approximately 9.7 cents per dth. Tr. 481 (Lorenz).  Thus, the CTAs could realize a maximum benefit in the 25-30 cents per dth range under the Comprehensive Settlement.</w:t>
      </w:r>
    </w:p>
    <w:p>
      <w:pPr>
        <w:pStyle w:val="BodyText"/>
        <w:spacing w:before="0" w:after="240"/>
        <w:rPr/>
      </w:pPr>
      <w:r>
        <w:rPr/>
        <w:t>The amounts made available under the Post-Interim Settlement is enough of a contribution toward enabling the CTA program to gain market share from the utility.  Beyond the benefits conferred by the Interim and Post-Interim Settlements, CTAs should strive to procure gas at a cost below that incurred by the utility so as to assure that there will be a real, system-wide savings realized as a result of customer's shifting to CTA service rather than simply the shifting of costs from CTAs and their customers to the noncore and bundled core customers.</w:t>
      </w:r>
    </w:p>
    <w:p>
      <w:pPr>
        <w:pStyle w:val="Heading1"/>
        <w:tabs>
          <w:tab w:val="clear" w:pos="720"/>
        </w:tabs>
        <w:ind w:hanging="0" w:start="0"/>
        <w:rPr>
          <w:b w:val="false"/>
        </w:rPr>
      </w:pPr>
      <w:bookmarkStart w:id="69" w:name="__RefHeading___Toc487881581"/>
      <w:bookmarkEnd w:id="69"/>
      <w:r>
        <w:rPr>
          <w:b w:val="false"/>
        </w:rPr>
        <w:t>Information Disclosure:  The Comprehensive Settlement's Information Disclosure Requirements Failed to Comply with the California Public Utilities Code and the Commission's Existing Rules as well as D.99</w:t>
        <w:noBreakHyphen/>
        <w:t>07-015</w:t>
      </w:r>
    </w:p>
    <w:p>
      <w:pPr>
        <w:pStyle w:val="BodyText"/>
        <w:spacing w:before="0" w:after="240"/>
        <w:rPr/>
      </w:pPr>
      <w:r>
        <w:rPr/>
        <w:t>In D.99-07-015, the Commission found that disclosure of “transaction-specific details . . . is basic and fundamental to an efficient market.”  D99-07-015, slip op. at 77.  To this end, one of the “most promising options” was “greater disclosure of details of the market transactions.”  D.99</w:t>
        <w:noBreakHyphen/>
        <w:t>07</w:t>
        <w:noBreakHyphen/>
        <w:t>015, slip op. at 65-66.</w:t>
      </w:r>
    </w:p>
    <w:p>
      <w:pPr>
        <w:pStyle w:val="BodyText"/>
        <w:spacing w:before="0" w:after="240"/>
        <w:rPr/>
      </w:pPr>
      <w:r>
        <w:rPr/>
        <w:t xml:space="preserve">In spite of the admonitions in D.99-07-015, the Comprehensive Settlement would sharply limit the amount of information that would be available to the market about negotiated transactions.  The Comprehensive Settlement would require only that SoCalGas publicly disclose a “monthly negotiated backbone transmission report” that would list unspecified “details” about negotiated transportation contracts.  The Comprehensive Settlement specifically provides that customer names would not be publicly revealed.  Ex. 1, at 67 (CSA </w:t>
      </w:r>
      <w:r>
        <w:rPr>
          <w:rFonts w:eastAsia="WP TypographicSymbols" w:cs="WP TypographicSymbols" w:ascii="WP TypographicSymbols" w:hAnsi="WP TypographicSymbols"/>
        </w:rPr>
        <w:sym w:font="WP TypographicSymbols" w:char="f027"/>
      </w:r>
      <w:r>
        <w:rPr/>
        <w:t xml:space="preserve"> 6.2.3).  Likewise, SoCalGas would make public only a “quarterly report” that would list the quantity, price and term of negotiated storage contracts but not any other details, specifically not the name of the contracting party.  Ex. 1, at 67 (CSA </w:t>
      </w:r>
      <w:r>
        <w:rPr>
          <w:rFonts w:eastAsia="WP TypographicSymbols" w:cs="WP TypographicSymbols" w:ascii="WP TypographicSymbols" w:hAnsi="WP TypographicSymbols"/>
        </w:rPr>
        <w:sym w:font="WP TypographicSymbols" w:char="f027"/>
      </w:r>
      <w:r>
        <w:rPr/>
        <w:t> 6.2.3.2).  These provisions run directly counter to the Commission’s admonition to increase rather than decrease the amount of information available to the market about market transactions.  Furthermore, the provisions of the Comprehensive Settlement conflict with both the California Public Utility Code and the requirements of the Commission’s own rules.</w:t>
      </w:r>
    </w:p>
    <w:p>
      <w:pPr>
        <w:pStyle w:val="Heading2"/>
        <w:tabs>
          <w:tab w:val="clear" w:pos="720"/>
        </w:tabs>
        <w:ind w:hanging="0" w:start="0"/>
        <w:rPr/>
      </w:pPr>
      <w:bookmarkStart w:id="70" w:name="__RefHeading___Toc487881582"/>
      <w:bookmarkEnd w:id="70"/>
      <w:r>
        <w:rPr/>
        <w:t>The Comprehensive Settlement's Restrictions on Disclosure of the Details of Market Transactions Violate Section 489(a) of the Public Utilities Code.</w:t>
      </w:r>
    </w:p>
    <w:p>
      <w:pPr>
        <w:pStyle w:val="BodyText"/>
        <w:spacing w:before="0" w:after="240"/>
        <w:rPr/>
      </w:pPr>
      <w:r>
        <w:rPr/>
        <w:t xml:space="preserve">Section 489(a) of the California Public Utilities Code requires public utilities “to file with the Commission . . . and to print and keep open to public inspection . . . all . . . contracts . . . which in any manner effect or relate to rates . . . or service.”  Cal. Pub. Util. Code </w:t>
      </w:r>
      <w:r>
        <w:rPr>
          <w:rFonts w:eastAsia="WP TypographicSymbols" w:cs="WP TypographicSymbols" w:ascii="WP TypographicSymbols" w:hAnsi="WP TypographicSymbols"/>
        </w:rPr>
        <w:sym w:font="WP TypographicSymbols" w:char="f027"/>
      </w:r>
      <w:r>
        <w:rPr/>
        <w:t> 489(a).  Section 489.1 of the California Public Utilities Code provides for an exemption for the public disclosure requirements of Section 489(a).  Section 489.1 permits the Commission to partially or completely exempt from the requirements of Section 489(a) contracts negotiated by the gas corporations for discounted rates in instances in which the gas corporations are precluded from shifting to other customers any resulting loss of revenue.</w:t>
      </w:r>
    </w:p>
    <w:p>
      <w:pPr>
        <w:pStyle w:val="BodyText"/>
        <w:spacing w:before="0" w:after="240"/>
        <w:rPr/>
      </w:pPr>
      <w:r>
        <w:rPr/>
        <w:t>When Section 489.1 was enacted in 1996, the SoCalGas "Global Settlement,” as approved in D.94-04-088 (April 20, 1994), was in effect.  Under the Global Settlement, SoCalGas was at risk for any loss of revenue that might result from offering a discount contract for service to a customer.  However, as of the June 1, 2000 effective date of the decision in the 1999 SoCalGas BCAP, D.00-04-060, SoCalGas is no longer precluded from shifting to other customers the loss of revenue that might result from offering the discount contract to a customer.  Thus, as of June 1, 2000, SoCalGas' contracts are no longer subject to the Section 489.1 exemption, and the Section 489(a) public disclosure requirements apply.  In any event, Section 489.1 sunsets by its own terms on December 31, 2000.  Accordingly, the restrictive provisions of the Comprehensive Settlement which would preclude disclosure of information such as customer names about negotiated transmission or storage conflict with and violate the Public Utilities Code and should be rejected.</w:t>
      </w:r>
    </w:p>
    <w:p>
      <w:pPr>
        <w:pStyle w:val="Heading2"/>
        <w:tabs>
          <w:tab w:val="clear" w:pos="720"/>
        </w:tabs>
        <w:ind w:hanging="0" w:start="0"/>
        <w:rPr/>
      </w:pPr>
      <w:bookmarkStart w:id="71" w:name="__RefHeading___Toc487881583"/>
      <w:bookmarkEnd w:id="71"/>
      <w:r>
        <w:rPr/>
        <w:t>The Provisions of the Comprehensive Settlement that Prevent Parity with FERC Regulations on the Disclosure of Details About Market Transactions Conflict with the Commission's Rules Requiring Parity.</w:t>
      </w:r>
    </w:p>
    <w:p>
      <w:pPr>
        <w:pStyle w:val="BodyText"/>
        <w:spacing w:before="0" w:after="240"/>
        <w:rPr/>
      </w:pPr>
      <w:r>
        <w:rPr/>
        <w:t>In addition to conflicting with the statutory requirements of Section 489(a), the restrictive information disclosure provisions of the Comprehensive Settlement conflict with Rule 8 of the Commission’s rules as adopted in D.97-06-110 (June 25, 1997).  In implementing Section 489.1, the Commission adopted a set of rules.  One is Rule 8, which generally requires that utilities make available the same information that interstate pipelines are required to make available under the rules of the FERC:</w:t>
      </w:r>
    </w:p>
    <w:p>
      <w:pPr>
        <w:pStyle w:val="SingleIndent"/>
        <w:rPr/>
      </w:pPr>
      <w:r>
        <w:rPr/>
        <w:t>8.  Section 489.1 does not protect from disclosure that type of information that a gas corporation's competitor(s) must disclosure pursuant to federal law (see, for example, the Federal Energy Regulatory Commission’s discount reports requirements, 18 C.F.R. ¶284.7(c)(6).  If federal law requires disclosure of a competitor's information, the Gas Corporation shall then disclose the same information.</w:t>
      </w:r>
    </w:p>
    <w:p>
      <w:pPr>
        <w:pStyle w:val="BodyText"/>
        <w:spacing w:before="0" w:after="240"/>
        <w:ind w:hanging="0" w:end="0"/>
        <w:rPr/>
      </w:pPr>
      <w:r>
        <w:rPr/>
        <w:t>D.97-06-110, App. A, at 4 (June 25, 1997).</w:t>
      </w:r>
    </w:p>
    <w:p>
      <w:pPr>
        <w:pStyle w:val="BodyText"/>
        <w:spacing w:before="0" w:after="240"/>
        <w:rPr/>
      </w:pPr>
      <w:r>
        <w:rPr/>
        <w:t>As the Commission itself noted in D.99-07-015, precise information such as the name of the contracting party must be publicly disclosed under FERC rules.  The Commission noted in D.99</w:t>
        <w:noBreakHyphen/>
        <w:t>07</w:t>
        <w:noBreakHyphen/>
        <w:t>015:</w:t>
      </w:r>
    </w:p>
    <w:p>
      <w:pPr>
        <w:pStyle w:val="Quote"/>
        <w:rPr/>
      </w:pPr>
      <w:r>
        <w:rPr/>
        <w:t xml:space="preserve">Under the FERC's negotiated rates policy statement, Interstate Pipelines must indicate that 'the rate for the service will be either the rates stated on its existing rate schedule or a rate mutually agreed upon by the pipeline and its customer.  When a rate is negotiated, the Pipeline will need to file a numbered tariffed rate sheet stating the exact legal name of the customer and the negotiated rate for the service.  </w:t>
      </w:r>
      <w:r>
        <w:rPr>
          <w:u w:val="single"/>
        </w:rPr>
        <w:t>See</w:t>
      </w:r>
      <w:r>
        <w:rPr/>
        <w:t xml:space="preserve"> </w:t>
      </w:r>
      <w:r>
        <w:rPr>
          <w:u w:val="single"/>
        </w:rPr>
        <w:t>Alternatives to Traditional Costs-of-Service Rate Making for Natural Gas Pipelines,</w:t>
      </w:r>
      <w:r>
        <w:rPr/>
        <w:t xml:space="preserve"> 75 FERC 61,076, at 61,241 (1996).</w:t>
      </w:r>
    </w:p>
    <w:p>
      <w:pPr>
        <w:pStyle w:val="BodyText"/>
        <w:spacing w:before="0" w:after="240"/>
        <w:ind w:hanging="0" w:end="0"/>
        <w:rPr/>
      </w:pPr>
      <w:r>
        <w:rPr/>
        <w:t>D.99</w:t>
        <w:noBreakHyphen/>
        <w:t>07</w:t>
        <w:noBreakHyphen/>
        <w:t>015, slip op. at 77.  Thus, in addition to conflicting with the Public Utilities Code, the Comprehensive Settlement's information disclosure restrictions conflict with the Commission's existing rules requiring Utilities to disclose information to the same degree that interstate pipelines must disclose information under FERC regulations.</w:t>
      </w:r>
    </w:p>
    <w:p>
      <w:pPr>
        <w:pStyle w:val="BodyText"/>
        <w:spacing w:before="0" w:after="240"/>
        <w:rPr/>
      </w:pPr>
      <w:r>
        <w:rPr/>
        <w:t>SoCalGas witness Lorenz contended that Rule 8, like Section 489.1, is scheduled to sunset on December 31, 2000.  Furthermore, he contends that Rule 8 has been scheduled to sunset by terms of D.97</w:t>
        <w:noBreakHyphen/>
        <w:t>06</w:t>
        <w:noBreakHyphen/>
        <w:t xml:space="preserve">010.  Ex. 14, at 10 (Lorenz).  </w:t>
      </w:r>
    </w:p>
    <w:p>
      <w:pPr>
        <w:pStyle w:val="BodyText"/>
        <w:spacing w:before="0" w:after="240"/>
        <w:rPr/>
      </w:pPr>
      <w:r>
        <w:rPr/>
        <w:t>It is true that D.97</w:t>
        <w:noBreakHyphen/>
        <w:t>06</w:t>
        <w:noBreakHyphen/>
        <w:t>110 was designed primarily to implement Section 489.1 of the Public Utilities Code.  However, there was no provision in the D.97-06-110 providing that the rules that were promulgated in the decision would sunset.  Clearly, to the extent to which the rules adopted in D.97</w:t>
        <w:noBreakHyphen/>
        <w:t>06</w:t>
        <w:noBreakHyphen/>
        <w:t>110 provide for an exemption from Section 489(a) public disclosure requirements, the rules promulgated in D.97</w:t>
        <w:noBreakHyphen/>
        <w:t>06</w:t>
        <w:noBreakHyphen/>
        <w:t>110 will effectively sunset when Section 489.1 sunsets.  However, to the extent to which rules promulgated in D.97</w:t>
        <w:noBreakHyphen/>
        <w:t>06</w:t>
        <w:noBreakHyphen/>
        <w:t>110 are not related to the exemption specified in Section 489.1 of the Public Utilities Code and are consistent with Section 489(a), rules adopted in D.97</w:t>
        <w:noBreakHyphen/>
        <w:t>06</w:t>
        <w:noBreakHyphen/>
        <w:t>110 will not sunset as of December 31, 2000.  Rule 8 is certainly consistent with Section 489(a) and, thus, will continue to be in effect after December 31, 2000, absent contrary Commission action.  Accordingly, Mr. Lorenz errors in contending that "Rule 8 is scheduled to sunset on December 31, 2000."</w:t>
      </w:r>
    </w:p>
    <w:p>
      <w:pPr>
        <w:pStyle w:val="BodyText"/>
        <w:spacing w:before="0" w:after="240"/>
        <w:rPr/>
      </w:pPr>
      <w:r>
        <w:rPr/>
        <w:t xml:space="preserve">Furthermore, as a matter of policy, Rule 8 should continue in effect.  As witness Florio testified;  "The parity requirement embodied in Rule 8 is good policy and should be continued."  Ex. 101, at 35 (Florio).  As Mr. Florio explained, local distribution companies such as SoCalGas and interstate pipelines such as Kern River are competitors.  "Rule 8 assures that the information that each of the competitors is to make available will be similar, thus assuring that one of the competitors will not be disadvantaged by being required to make information available that the other can keep confidential."  </w:t>
      </w:r>
      <w:r>
        <w:rPr>
          <w:u w:val="single"/>
        </w:rPr>
        <w:t>Id.</w:t>
      </w:r>
      <w:r>
        <w:rPr/>
        <w:t xml:space="preserve"> at 36-37.  Accordingly, Rule 8 should continue to be in effect, and the Comprehensive Settlement provisions that would conflict with Rule 8 should be rejected as inconsistent with Rule 8 as well as inconsistent with Section 489(a) of the Public Utilities Code and D.99</w:t>
        <w:noBreakHyphen/>
        <w:t>07</w:t>
        <w:noBreakHyphen/>
        <w:t>015.</w:t>
      </w:r>
    </w:p>
    <w:p>
      <w:pPr>
        <w:pStyle w:val="Heading1"/>
        <w:tabs>
          <w:tab w:val="clear" w:pos="720"/>
        </w:tabs>
        <w:ind w:hanging="0" w:start="0"/>
        <w:rPr>
          <w:b w:val="false"/>
          <w:u w:val="none"/>
        </w:rPr>
      </w:pPr>
      <w:bookmarkStart w:id="72" w:name="__RefHeading___Toc487881584"/>
      <w:bookmarkEnd w:id="72"/>
      <w:r>
        <w:rPr>
          <w:b w:val="false"/>
        </w:rPr>
        <w:t>Implementation Costs:  The Comprehensive Settlement Sets No Limits on Implementation Costs, Thereby Permitting SoCalGas to Retain an Unlimited Amount of Pooling Fees, Imbalance Fees, Revenues from the Sale or Purchase of Imbalance Gas, and Rights Trading Fees</w:t>
      </w:r>
      <w:r>
        <w:rPr>
          <w:b w:val="false"/>
          <w:u w:val="none"/>
        </w:rPr>
        <w:t>.</w:t>
      </w:r>
    </w:p>
    <w:p>
      <w:pPr>
        <w:pStyle w:val="BodyText"/>
        <w:spacing w:before="0" w:after="240"/>
        <w:rPr/>
      </w:pPr>
      <w:r>
        <w:rPr/>
        <w:t>A dramatic difference between the Interim and Post-Interim Settlements and the Comprehensive Settlement is that the Interim and Post Interim Settlements carefully, yet realistically limit SoCalGas' implementation costs, while the Comprehensive Settlement puts no limits whatsoever on implementation costs.  Worst yet, the Comprehensive Settlement provides an outright incentive for SoCalGas to run up implementation costs to whatever level is necessary in order to retain pooling service fees, imbalance fees, revenues from the sale or purchase of imbalance gas, and rights trading fees.</w:t>
      </w:r>
    </w:p>
    <w:p>
      <w:pPr>
        <w:pStyle w:val="Heading2"/>
        <w:tabs>
          <w:tab w:val="clear" w:pos="720"/>
        </w:tabs>
        <w:ind w:hanging="0" w:start="0"/>
        <w:rPr/>
      </w:pPr>
      <w:bookmarkStart w:id="73" w:name="__RefHeading___Toc487881585"/>
      <w:bookmarkEnd w:id="73"/>
      <w:r>
        <w:rPr/>
        <w:t>The Interim Settlement Contains a Realistic but Definite Cap on Implementation Costs.</w:t>
      </w:r>
    </w:p>
    <w:p>
      <w:pPr>
        <w:pStyle w:val="BodyText"/>
        <w:spacing w:before="0" w:after="240"/>
        <w:rPr/>
      </w:pPr>
      <w:r>
        <w:rPr/>
        <w:t xml:space="preserve">The Interim Settlement provides for SoCalGas' recovery of the implementation costs actually incurred by SoCalGas to implement the provisions of the Interim Settlement.  The capitalized costs associated with implementing the settlement are estimated to be $2.7 million.  Ex. 100, Att. A, at 17 (ISA § VII).  The implementation costs are associated with developing new or enhanced computer systems that would be needed to run the pooling program and to provide the EBB services that would facilitate the secondary market for trading of storage contracts.  SoCalGas would "establish an account to which the costs associated with development and implementation will be booked," but the total capitalized amount that could be recorded in the account for cost recovery "shall not exceed $3.5 million."  </w:t>
      </w:r>
      <w:r>
        <w:rPr>
          <w:u w:val="single"/>
        </w:rPr>
        <w:t>Id.</w:t>
      </w:r>
      <w:r>
        <w:rPr/>
        <w:t xml:space="preserve">  In order to offset the costs recorded in the account, SoCalGas would be permitted to "book as a credit against the revenue requirement associated with these costs revenues from any Commission-approved fees it receives for pooling transactions. . . ."  </w:t>
      </w:r>
      <w:r>
        <w:rPr>
          <w:u w:val="single"/>
        </w:rPr>
        <w:t>Id.</w:t>
      </w:r>
    </w:p>
    <w:p>
      <w:pPr>
        <w:pStyle w:val="Heading2"/>
        <w:tabs>
          <w:tab w:val="clear" w:pos="720"/>
        </w:tabs>
        <w:ind w:hanging="0" w:start="0"/>
        <w:rPr/>
      </w:pPr>
      <w:bookmarkStart w:id="74" w:name="__RefHeading___Toc487881586"/>
      <w:bookmarkEnd w:id="74"/>
      <w:r>
        <w:rPr/>
        <w:t>Instead of Imposing a Cap on Implementation Costs, the Comprehensive Settlement Provides a Perverse Incentive to SoCalGas to Run Up Costs so as to Retain Pooling Service Fees, Imbalance Fees, Revenues from the Sale or Purchase of Imbalance Gas, and Rights Trading Fees.</w:t>
      </w:r>
    </w:p>
    <w:p>
      <w:pPr>
        <w:pStyle w:val="BodyText"/>
        <w:spacing w:before="0" w:after="240"/>
        <w:rPr/>
      </w:pPr>
      <w:r>
        <w:rPr/>
        <w:t xml:space="preserve">In stark contrast to the Interim Settlement, the Comprehensive Settlement fails to impose any cap on SoCalGas' implementation costs.  Instead, the Comprehensive Settlement provides for various revenues and fees to be retained by SoCalGas, but only to the extent to which SoCalGas can claim to incur implementation costs.  Thus, the Comprehensive Settlement provides SoCalGas with a perverse incentive to drive up implementation costs so as to be able to retain the associated fees and revenues.  </w:t>
      </w:r>
    </w:p>
    <w:p>
      <w:pPr>
        <w:pStyle w:val="BodyText"/>
        <w:spacing w:before="0" w:after="240"/>
        <w:rPr/>
      </w:pPr>
      <w:r>
        <w:rPr/>
        <w:t>This Comprehensive Settlement would authorize SoCalGas "to recover in rates an additional $2.0 million, plus related franchise fees and uncollectibles, per year. . . ."  Ex. 1, at 2 (CSA § 1.6).  Furthermore, "</w:t>
      </w:r>
      <w:r>
        <w:rPr>
          <w:i/>
        </w:rPr>
        <w:t>in addition</w:t>
      </w:r>
      <w:r>
        <w:rPr/>
        <w:t xml:space="preserve"> to the $2.0 million annual amount described above, SoCalGas shall be entitled to retain any pooling service fees, imbalance fees, net revenues from the sale or purchase of gas beyond tolerances provided under balancing rules, or portions of rights trading fees it is entitled to retain under agreements with third-party providers of trading platforms."  </w:t>
      </w:r>
      <w:r>
        <w:rPr>
          <w:u w:val="single"/>
        </w:rPr>
        <w:t>Id.</w:t>
      </w:r>
      <w:r>
        <w:rPr/>
        <w:t xml:space="preserve"> (emphasis added).  If SoCalGas has not pushed up implementation costs enough to cover the $2.0 million plus the additional revenues, SoCalGas must refund the difference:  "However, if in any calendar year the total of $2.0 million per year . . . plus revenues from such fees and imbalance purchase/sales exceeds the actual revenue requirement associated with all implementation costs incurred by SoCalGas. . . , SoCalGas shall refund. . . the excess. . . ."  Ex. 1, at 2-3 (CSA § 1.6).</w:t>
      </w:r>
    </w:p>
    <w:p>
      <w:pPr>
        <w:pStyle w:val="BodyText"/>
        <w:spacing w:before="0" w:after="240"/>
        <w:rPr/>
      </w:pPr>
      <w:r>
        <w:rPr/>
        <w:t>The Comprehensive Settlement supporters have advertised the provision that would permit SoCalGas to add $2.0 million plus franchise fees and uncollectibles to its revenue requirement as though it were a cap on Comprehensive Settlement implementation costs.  In fact, it is just the reverse.  Instead of being a cap, the $2.0 million is nothing more than an initial would ratepayer contribution to a potentially much larger pot of dollars which SoCalGas shareholders would be permitted to retain only if they can drive up implementation costs high enough.</w:t>
      </w:r>
    </w:p>
    <w:p>
      <w:pPr>
        <w:pStyle w:val="Heading1"/>
        <w:tabs>
          <w:tab w:val="clear" w:pos="720"/>
        </w:tabs>
        <w:ind w:hanging="0" w:start="0"/>
        <w:rPr>
          <w:b w:val="false"/>
          <w:u w:val="none"/>
        </w:rPr>
      </w:pPr>
      <w:bookmarkStart w:id="75" w:name="__RefHeading___Toc487881587"/>
      <w:bookmarkEnd w:id="75"/>
      <w:r>
        <w:rPr>
          <w:b w:val="false"/>
        </w:rPr>
        <w:t>ITCS:  Both the Interim and Post-Interim Settlements and the Comprehensive Settlement Eliminate the Core Contribution to Covering ITCS Costs, but the Comprehensive Settlement Fails to Provide SoCalGas with an Incentive to Reduce the Costs</w:t>
      </w:r>
      <w:r>
        <w:rPr>
          <w:b w:val="false"/>
          <w:u w:val="none"/>
        </w:rPr>
        <w:t>.</w:t>
      </w:r>
    </w:p>
    <w:p>
      <w:pPr>
        <w:pStyle w:val="BodyText"/>
        <w:spacing w:before="0" w:after="240"/>
        <w:rPr/>
      </w:pPr>
      <w:r>
        <w:rPr/>
        <w:t>Section 4.1 of the Post-Interim Settlement provides for elimination of the core's current contribution to covering ITCS costs:  "The core's 10 percent ITCS contribution to covering ITCS costs shall be eliminated entirely on January 1, 2002."  Ex. 100, at 7 (PSA § 4.1).  Similarly, the Comprehensive Settlement eliminates the core contribution to the ITCS as of the same date.  Ex. 1, at 56 (CSA § 5.3.3.5).  A critical difference between the two settlements is that the Post-Interim Settlement, unlike the Comprehensive Settlement, would allocate a portion of the responsibility for ITCS costs to SoCalGas' shareholders, thereby providing SoCalGas with an incentive to keep stranded costs down:  "ITCS costs shall be shared 75/25 between noncore ratepayers and SoCalGas, beginning January 1, 2002."  Ex. 100, at 7 (PSA § 4.2.1).</w:t>
      </w:r>
    </w:p>
    <w:p>
      <w:pPr>
        <w:pStyle w:val="BodyText"/>
        <w:spacing w:before="0" w:after="240"/>
        <w:rPr/>
      </w:pPr>
      <w:r>
        <w:rPr/>
        <w:t>The Post-Interim Settlement's risk sharing formula is both necessary and fair.  It is necessary that SoCalGas' shareholders be given a direct stake in maximizing revenues received for various brokered capacity arrangements:  "The company should be given an incentive to maximize revenues in deciding, for example, whether to trade off the opportunity for a longer-term arrangement at potentially less than the as-billed rate with the possibility of receiving greater than the as-billed rate levels during certain periods for short-term transactions."  Ex. 102, at 44 (Yap).</w:t>
      </w:r>
    </w:p>
    <w:p>
      <w:pPr>
        <w:pStyle w:val="BodyText"/>
        <w:spacing w:before="0" w:after="240"/>
        <w:rPr/>
      </w:pPr>
      <w:r>
        <w:rPr/>
        <w:t>The provision is fair.  First, the provision adopts the same 75/25 noncore/shareholder risk-sharing formula that was adopted for the noncore revenue requirement in the SoCalGas 1999 BCAP.  D.00</w:t>
        <w:noBreakHyphen/>
        <w:t>04</w:t>
        <w:noBreakHyphen/>
        <w:t>060, App. A.</w:t>
      </w:r>
    </w:p>
    <w:p>
      <w:pPr>
        <w:pStyle w:val="BodyText"/>
        <w:spacing w:before="0" w:after="240"/>
        <w:rPr/>
      </w:pPr>
      <w:r>
        <w:rPr/>
        <w:t>Second, the risk sharing provision would be imposed at a time at which SoCalGas has new opportunities to minimize ITCS costs.  The value of released capacity has risen significantly over the last two years and may rise even more.  Ex. 102, at 44 (Yap).  Furthermore, the FERC has recently eliminated rate ceilings for short-term capacity releases, thereby permitting prices paid for short-term capacity releases to rise above the "as-billed" rate.  The Post-Interim Settlement would permit SoCalGas to take full advantage of this new marketing opportunity:  Ex. 100, at 7 (PSA § 4.2).  Thus, SoCalGas may, under the Post-Interim Settlement provisions in combination with FERC Order 637, be able to recoup revenues in excess of "as-billed" rate during capacity constrained periods to offset the total billed ITCS costs.  Ex. 102, at 44 (Yap).</w:t>
      </w:r>
    </w:p>
    <w:p>
      <w:pPr>
        <w:pStyle w:val="Heading1"/>
        <w:tabs>
          <w:tab w:val="clear" w:pos="720"/>
        </w:tabs>
        <w:ind w:hanging="0" w:start="0"/>
        <w:rPr>
          <w:b w:val="false"/>
          <w:u w:val="none"/>
        </w:rPr>
      </w:pPr>
      <w:bookmarkStart w:id="76" w:name="__RefHeading___Toc487881588"/>
      <w:bookmarkEnd w:id="76"/>
      <w:r>
        <w:rPr>
          <w:b w:val="false"/>
        </w:rPr>
        <w:t>Schedule:  The Interim Settlement Provides for a Customer-Friendly Schedule for Implementing Reforms and for Subsequent Proceedings, Whereas the Comprehensive Settlement Schedule Favors SoCalGas and Marketers</w:t>
      </w:r>
      <w:r>
        <w:rPr>
          <w:b w:val="false"/>
          <w:u w:val="none"/>
        </w:rPr>
        <w:t>.</w:t>
      </w:r>
    </w:p>
    <w:p>
      <w:pPr>
        <w:pStyle w:val="BodyText"/>
        <w:spacing w:before="0" w:after="240"/>
        <w:rPr/>
      </w:pPr>
      <w:r>
        <w:rPr/>
        <w:t>The provisions of the Interim and Post-Interim Settlements would implement customer-driven reforms sooner than the Comprehensive Settlement, although the Comprehensive Settlement adopts an unrealistically hasty schedule for implementing marketer-driven reforms that work to the detriment of customers.  Likewise, the Interim Settlement would require that subsequent proceedings be initiated so as to insure that the proceedings can be completed in a timely fashion, whereas the Comprehensive Settlement would result in proceedings either being unduly expedited or delayed, both of which would work to the benefit of SoCalGas and against customer interests.</w:t>
      </w:r>
    </w:p>
    <w:p>
      <w:pPr>
        <w:pStyle w:val="Heading2"/>
        <w:tabs>
          <w:tab w:val="clear" w:pos="720"/>
        </w:tabs>
        <w:ind w:hanging="0" w:start="0"/>
        <w:rPr/>
      </w:pPr>
      <w:bookmarkStart w:id="77" w:name="__RefHeading___Toc487881589"/>
      <w:bookmarkEnd w:id="77"/>
      <w:r>
        <w:rPr/>
        <w:t>The Interim and Post-Interim Settlements Would Implement Customer-Driven Reforms More Quickly than the Comprehensive Settlement, Whereas the Comprehensive Settlement Would Delay Those Reforms While Unrealistically Rushing the Structural Reforms that Benefit Marketers to the Detriment of Customers.</w:t>
      </w:r>
    </w:p>
    <w:p>
      <w:pPr>
        <w:pStyle w:val="BodyText"/>
        <w:spacing w:before="0" w:after="240"/>
        <w:rPr/>
      </w:pPr>
      <w:r>
        <w:rPr/>
        <w:t>The Comprehensive Settlement implements customer-driven reforms more slowly than the Interim and Post-Interim Settlements.  The important customer-driven features of the Interim Settlement such as liberalized imbalance trading, pooling, the elimination of windowing, and the creation of a secondary market for unbundled storage contracts would become effective on the first day of the second month following the month in which the Settlement is approved.  Thus, if the Commission approves the Interim Settlement on October 15, 2000, it would become effective by December  1, 2000.  Several of these provisions, including the replacement of current SoCalGas balancing procedures with OFOs, the provision for the trading of OFO imbalances and rights, and the creation of a secondary market for storage, would be delayed until, at the earliest, April 1, 2001 under the Comprehensive Settlement.  Ex. 2, at 28 (Lorenz).</w:t>
      </w:r>
    </w:p>
    <w:p>
      <w:pPr>
        <w:pStyle w:val="BodyText"/>
        <w:spacing w:before="0" w:after="240"/>
        <w:rPr/>
      </w:pPr>
      <w:r>
        <w:rPr/>
        <w:t xml:space="preserve">On the other hand, the Comprehensive Settlement adopts an overly-ambitious schedule for implementing marketer-driven reforms.  The Phase II implementation begins on April 1, 2001, only shortly after the likely date of the Commission's decision in this proceeding.  It will involve "extensive system changes and the contracting with ALTRA for the development of an electronic secondary market, anonymous trading platform for storage rights, monthly imbalances, and OFO chip trading . . .." </w:t>
      </w:r>
      <w:r>
        <w:rPr>
          <w:u w:val="single"/>
        </w:rPr>
        <w:t>Id.</w:t>
      </w:r>
      <w:r>
        <w:rPr/>
        <w:t xml:space="preserve">  All arrangements with ALTRA must be in place in order for there to be trading of storage rights, liberalized trading of monthly imbalances, or trading of OFO imbalances, insofar as the Comprehensive Settlement permits such trading to occur only through the ALTRA program, thereby insuring the recovery of trading fees by SoCalGas.</w:t>
      </w:r>
    </w:p>
    <w:p>
      <w:pPr>
        <w:pStyle w:val="BodyText"/>
        <w:spacing w:before="0" w:after="240"/>
        <w:rPr/>
      </w:pPr>
      <w:r>
        <w:rPr/>
        <w:t xml:space="preserve">Phase III implementation begins just six months later on October 1, 2001 and involves "the major task of restructuring [SoCalGas'] intrastate transmission system. . . ."  </w:t>
      </w:r>
      <w:r>
        <w:rPr>
          <w:u w:val="single"/>
        </w:rPr>
        <w:t>Id</w:t>
      </w:r>
      <w:r>
        <w:rPr/>
        <w:t>.  It is likely that Comprehensive Settlement implementation will not only be costly, given the perverse incentives contained in the settlement for SoCalGas to run up costs, but "will run behind its ambitious schedule . . .."  Ex. 102, at 48 (Yap).</w:t>
      </w:r>
    </w:p>
    <w:p>
      <w:pPr>
        <w:pStyle w:val="Heading2"/>
        <w:tabs>
          <w:tab w:val="clear" w:pos="720"/>
        </w:tabs>
        <w:ind w:hanging="0" w:start="0"/>
        <w:rPr/>
      </w:pPr>
      <w:bookmarkStart w:id="78" w:name="__RefHeading___Toc487881590"/>
      <w:bookmarkEnd w:id="78"/>
      <w:r>
        <w:rPr/>
        <w:t>The Interim Settlement Provides for Timely Commencement of Subsequent Proceedings, Whereas the Comprehensive Settlement Requires a Delay in Filing That Would Prejudice Customers and Advantage the Applicant.</w:t>
      </w:r>
    </w:p>
    <w:p>
      <w:pPr>
        <w:pStyle w:val="BodyText"/>
        <w:spacing w:before="0" w:after="240"/>
        <w:rPr/>
      </w:pPr>
      <w:r>
        <w:rPr/>
        <w:t xml:space="preserve">The Post-Interim Settlement provides that one of the most significant subsequent proceedings, the next SoCalGas BCAP, commence in timely fashion so as to permit customers to participate fully while having the proceeding decided in timely fashion.  The Post-Interim Settlement provides:  "In order to permit the timely consideration of issues in the next SoCalGas BCAP, SoCalGas shall file its next BCAP application no later than July 1, 2001, </w:t>
      </w:r>
      <w:r>
        <w:rPr>
          <w:u w:val="single"/>
        </w:rPr>
        <w:t>i.e.</w:t>
      </w:r>
      <w:r>
        <w:rPr/>
        <w:t>, 18 months before the proposed effective date, January 1, 2003."  Ex. 100, at 9 (PSA § VIII).  By contrast, the Comprehensive Settlement proposes October 31, 2005 as the deadline for SoCalGas to file an application to establish new rates, terms, and conditions of service for the post-settlement period, which would begin on September 1, 2006.  Ex. 1, at 6 (CSA §1.8).  This would allow a mere ten months for processing of the SoCalGas' post-settlement application.</w:t>
      </w:r>
    </w:p>
    <w:p>
      <w:pPr>
        <w:pStyle w:val="BodyText"/>
        <w:spacing w:before="0" w:after="240"/>
        <w:rPr/>
      </w:pPr>
      <w:r>
        <w:rPr/>
        <w:t xml:space="preserve">Ten months is a completely inadequate period of time for the Commission to process an application, reach a decision, and implement the resulting changes in rates and services.  The last SoCalGas BCAP, for example, took exactly twenty months from the date of the application to the date of implementation, June 1, 2000.  The proceeding was ten months late in putting new rates into effect, a delay which was disastrous from the customers' standpoint, given that the proceeding involved, </w:t>
      </w:r>
      <w:r>
        <w:rPr>
          <w:i/>
        </w:rPr>
        <w:t>inter alia,</w:t>
      </w:r>
      <w:r>
        <w:rPr/>
        <w:t xml:space="preserve"> rate reductions that customers strongly desired to have implemented in timely fashion.  </w:t>
      </w:r>
    </w:p>
    <w:p>
      <w:pPr>
        <w:pStyle w:val="BodyText"/>
        <w:spacing w:before="0" w:after="240"/>
        <w:rPr/>
      </w:pPr>
      <w:r>
        <w:rPr/>
        <w:t xml:space="preserve">Given the potential complexity and contentiousness of the issues at stake in SoCalGas proceedings that will be subsequent to this one, it would be far more prudent to plan for a full eighteen month processing period as contemplated by SB 960.  Ex. 102, at 49 (Florio).  An abbreviated period such as ten months as was proposed by SoCalGas in the last BCAP and is proposed in the Comprehensive Settlement for the post-settlement proceeding disadvantages customers by either resulting in an unduly expedited proceeding in which the effectiveness of their participation is reduced or results in delay, as occurred with the last BCAP.  Accordingly, the Commission should direct SoCalGas to file applications such as its next BCAP application a full eighteen months before the intended implementation date.  </w:t>
      </w:r>
    </w:p>
    <w:p>
      <w:pPr>
        <w:pStyle w:val="Heading1"/>
        <w:tabs>
          <w:tab w:val="clear" w:pos="720"/>
        </w:tabs>
        <w:ind w:hanging="0" w:start="0"/>
        <w:rPr/>
      </w:pPr>
      <w:bookmarkStart w:id="79" w:name="__RefHeading___Toc487881591"/>
      <w:bookmarkEnd w:id="79"/>
      <w:r>
        <w:rPr/>
        <w:t>Conclusion:  Approve the Interim and Post-Interim Settlements and Reject the Comprehensive Settlement.</w:t>
      </w:r>
    </w:p>
    <w:p>
      <w:pPr>
        <w:pStyle w:val="BodyText"/>
        <w:spacing w:before="0" w:after="240"/>
        <w:rPr/>
      </w:pPr>
      <w:r>
        <w:rPr/>
        <w:t>Wherefore, for the reasons set forth above, SCGC respectfully requests that the Commission reject the Comprehensive Settlement in its entirety and accept the Interim and Post-Interim Settlements in their entirety.</w:t>
      </w:r>
    </w:p>
    <w:p>
      <w:pPr>
        <w:pStyle w:val="Signature"/>
        <w:rPr/>
      </w:pPr>
      <w:r>
        <w:rPr/>
        <w:t xml:space="preserve"> </w:t>
      </w:r>
      <w:r>
        <w:rPr/>
        <w:t>Respectfully submitted,</w:t>
        <w:br/>
        <w:br/>
        <w:br/>
        <w:br/>
        <w:t>__________________________________</w:t>
        <w:br/>
        <w:t>Norman A. Pedersen</w:t>
        <w:br/>
        <w:t>JONES, DAY, REAVIS &amp; POGUE</w:t>
        <w:br/>
        <w:t>555 West Fifth Street</w:t>
        <w:br/>
        <w:t>Suite 4600</w:t>
        <w:br/>
        <w:t>Los Angeles, California 90013-1025</w:t>
        <w:br/>
        <w:t>Telephone: (213) 489-3939</w:t>
        <w:br/>
        <w:t>Facsimile:  (213) 243-2539</w:t>
        <w:br/>
      </w:r>
    </w:p>
    <w:p>
      <w:pPr>
        <w:pStyle w:val="BodyText"/>
        <w:tabs>
          <w:tab w:val="clear" w:pos="720"/>
          <w:tab w:val="left" w:pos="4680" w:leader="none"/>
        </w:tabs>
        <w:spacing w:lineRule="auto" w:line="240"/>
        <w:ind w:hanging="4680" w:start="4680" w:end="0"/>
        <w:rPr/>
      </w:pPr>
      <w:r>
        <w:rPr/>
        <w:t>Dated:  July 10, 2000</w:t>
        <w:tab/>
        <w:t xml:space="preserve">Attorneys for </w:t>
      </w:r>
      <w:r>
        <w:rPr>
          <w:b/>
        </w:rPr>
        <w:t>SOUTHERN CALIFORNIA</w:t>
        <w:br/>
        <w:t>GENERATION COALITION</w:t>
      </w:r>
      <w:r>
        <w:br w:type="page"/>
      </w:r>
    </w:p>
    <w:p>
      <w:pPr>
        <w:pStyle w:val="BodyText"/>
        <w:tabs>
          <w:tab w:val="clear" w:pos="720"/>
          <w:tab w:val="left" w:pos="4680" w:leader="none"/>
        </w:tabs>
        <w:spacing w:lineRule="auto" w:line="240"/>
        <w:ind w:hanging="4680" w:start="4680" w:end="0"/>
        <w:rPr>
          <w:b/>
        </w:rPr>
      </w:pPr>
      <w:r>
        <w:rPr>
          <w:b/>
        </w:rPr>
      </w:r>
    </w:p>
    <w:p>
      <w:pPr>
        <w:pStyle w:val="BodyText"/>
        <w:rPr/>
      </w:pPr>
      <w:r>
        <w:rPr/>
        <w:t>I hereby certify that I have this day served a copy of the</w:t>
      </w:r>
      <w:r>
        <w:rPr>
          <w:b/>
        </w:rPr>
        <w:t xml:space="preserve"> Southern California Generation Coalition Opening Brief </w:t>
      </w:r>
      <w:r>
        <w:rPr/>
        <w:t>on the service list for</w:t>
      </w:r>
      <w:r>
        <w:rPr>
          <w:b/>
        </w:rPr>
        <w:t xml:space="preserve"> I.99-07-003</w:t>
      </w:r>
      <w:r>
        <w:rPr/>
        <w:t xml:space="preserve"> by mailing a properly addressed copy by first-class mail with postage prepaid to each party.</w:t>
      </w:r>
    </w:p>
    <w:p>
      <w:pPr>
        <w:pStyle w:val="BodyText"/>
        <w:rPr/>
      </w:pPr>
      <w:r>
        <w:rPr/>
        <w:t>Executed on July __, 2000, at Los Angeles, California.</w:t>
      </w:r>
    </w:p>
    <w:p>
      <w:pPr>
        <w:pStyle w:val="Normal"/>
        <w:spacing w:lineRule="atLeast" w:line="360"/>
        <w:rPr/>
      </w:pPr>
      <w:r>
        <w:rPr/>
      </w:r>
    </w:p>
    <w:p>
      <w:pPr>
        <w:pStyle w:val="Normal"/>
        <w:spacing w:lineRule="auto" w:line="240" w:before="0" w:after="0"/>
        <w:rPr/>
      </w:pPr>
      <w:r>
        <w:rPr/>
        <w:tab/>
        <w:tab/>
        <w:tab/>
        <w:tab/>
        <w:tab/>
        <w:tab/>
        <w:tab/>
      </w:r>
      <w:r>
        <w:rPr>
          <w:u w:val="single"/>
        </w:rPr>
        <w:tab/>
        <w:tab/>
        <w:tab/>
        <w:tab/>
        <w:tab/>
      </w:r>
    </w:p>
    <w:p>
      <w:pPr>
        <w:sectPr>
          <w:footerReference w:type="default" r:id="rId3"/>
          <w:footerReference w:type="first" r:id="rId4"/>
          <w:footnotePr>
            <w:numFmt w:val="decimal"/>
          </w:footnotePr>
          <w:type w:val="nextPage"/>
          <w:pgSz w:w="12240" w:h="15840"/>
          <w:pgMar w:left="1440" w:right="1440" w:gutter="0" w:header="0" w:top="1440" w:footer="432" w:bottom="1440"/>
          <w:pgNumType w:start="0" w:fmt="decimal"/>
          <w:formProt w:val="false"/>
          <w:titlePg/>
          <w:textDirection w:val="lrTb"/>
          <w:docGrid w:type="default" w:linePitch="360" w:charSpace="0"/>
        </w:sectPr>
        <w:pStyle w:val="PlainText"/>
        <w:spacing w:lineRule="auto" w:line="240" w:before="0" w:after="0"/>
        <w:rPr/>
      </w:pPr>
      <w:r>
        <w:rPr/>
        <w:tab/>
        <w:tab/>
        <w:t xml:space="preserve"> </w:t>
        <w:tab/>
        <w:tab/>
        <w:tab/>
        <w:tab/>
        <w:tab/>
        <w:tab/>
        <w:t xml:space="preserve">  </w:t>
      </w:r>
      <w:r>
        <w:rPr>
          <w:b/>
        </w:rPr>
        <w:t>Jaki Hawkins</w:t>
      </w:r>
    </w:p>
    <w:p>
      <w:pPr>
        <w:pStyle w:val="BodyText"/>
        <w:jc w:val="center"/>
        <w:rPr>
          <w:b/>
          <w:u w:val="single"/>
        </w:rPr>
      </w:pPr>
      <w:r>
        <w:rPr>
          <w:b/>
          <w:u w:val="single"/>
        </w:rPr>
        <w:t>TABLE OF CONTENTS</w:t>
      </w:r>
    </w:p>
    <w:p>
      <w:pPr>
        <w:pStyle w:val="BodyText"/>
        <w:ind w:end="-144"/>
        <w:jc w:val="end"/>
        <w:rPr/>
      </w:pPr>
      <w:r>
        <w:rPr/>
        <w:t>Page No.</w:t>
      </w:r>
    </w:p>
    <w:sdt>
      <w:sdtPr>
        <w:docPartObj>
          <w:docPartGallery w:val="Table of Contents"/>
          <w:docPartUnique w:val="true"/>
        </w:docPartObj>
      </w:sdtPr>
      <w:sdtContent>
        <w:p>
          <w:pPr>
            <w:pStyle w:val="TOC1"/>
            <w:tabs>
              <w:tab w:val="clear" w:pos="720"/>
              <w:tab w:val="right" w:pos="9350" w:leader="dot"/>
            </w:tabs>
            <w:spacing w:lineRule="auto" w:line="240" w:before="120" w:after="0"/>
            <w:rPr>
              <w:b w:val="false"/>
            </w:rPr>
          </w:pPr>
          <w:r>
            <w:fldChar w:fldCharType="begin"/>
          </w:r>
          <w:r>
            <w:rPr>
              <w:b w:val="false"/>
              <w:color w:val="000000"/>
            </w:rPr>
            <w:instrText xml:space="preserve"> TOC \o "3-3" \t "Heading 1,1,Heading 2,2" </w:instrText>
          </w:r>
          <w:r>
            <w:rPr>
              <w:b w:val="false"/>
              <w:color w:val="000000"/>
            </w:rPr>
            <w:fldChar w:fldCharType="separate"/>
          </w:r>
          <w:r>
            <w:rPr>
              <w:b w:val="false"/>
              <w:color w:val="000000"/>
            </w:rPr>
            <w:t>I.</w:t>
          </w:r>
          <w:r>
            <w:rPr>
              <w:b w:val="false"/>
            </w:rPr>
            <w:tab/>
            <w:t>Introduction:  The Challenge Is to Promote Competition, Not the Narrow Interest of Competitors.</w:t>
            <w:tab/>
          </w:r>
          <w:hyperlink w:anchor="__RefHeading___Toc487881513">
            <w:r>
              <w:rPr>
                <w:rStyle w:val="IndexLink"/>
                <w:b w:val="false"/>
              </w:rPr>
              <w:t>2</w:t>
            </w:r>
          </w:hyperlink>
        </w:p>
        <w:p>
          <w:pPr>
            <w:pStyle w:val="TOC2"/>
            <w:rPr/>
          </w:pPr>
          <w:r>
            <w:rPr/>
            <w:t>A.</w:t>
            <w:tab/>
            <w:t xml:space="preserve">The Interim and Post-Interim Settlements Promote Competition for the </w:t>
            <w:br/>
            <w:t xml:space="preserve">Benefit of SoCalGas Customers; the Comprehensive Settlement Promotes </w:t>
            <w:br/>
            <w:t>the Competitors.</w:t>
            <w:tab/>
          </w:r>
          <w:hyperlink w:anchor="__RefHeading___Toc487881514">
            <w:r>
              <w:rPr>
                <w:rStyle w:val="IndexLink"/>
              </w:rPr>
              <w:t>3</w:t>
            </w:r>
          </w:hyperlink>
        </w:p>
        <w:p>
          <w:pPr>
            <w:pStyle w:val="TOC2"/>
            <w:rPr/>
          </w:pPr>
          <w:r>
            <w:rPr/>
            <w:t>B.</w:t>
            <w:tab/>
            <w:t xml:space="preserve">The Interim and Post-Interim Settlements Are Supported by Customers </w:t>
            <w:br/>
            <w:t>Ranging from the Smallest to the Largest.</w:t>
            <w:tab/>
          </w:r>
          <w:hyperlink w:anchor="__RefHeading___Toc487881515">
            <w:r>
              <w:rPr>
                <w:rStyle w:val="IndexLink"/>
              </w:rPr>
              <w:t>4</w:t>
            </w:r>
          </w:hyperlink>
        </w:p>
        <w:p>
          <w:pPr>
            <w:pStyle w:val="TOC2"/>
            <w:rPr/>
          </w:pPr>
          <w:r>
            <w:rPr/>
            <w:t>C.</w:t>
            <w:tab/>
            <w:t>The Benefits of the Interim and Post-Interim Settlements.</w:t>
            <w:tab/>
          </w:r>
          <w:hyperlink w:anchor="__RefHeading___Toc487881516">
            <w:r>
              <w:rPr>
                <w:rStyle w:val="IndexLink"/>
              </w:rPr>
              <w:t>5</w:t>
            </w:r>
          </w:hyperlink>
        </w:p>
        <w:p>
          <w:pPr>
            <w:pStyle w:val="TOC3"/>
            <w:rPr/>
          </w:pPr>
          <w:r>
            <w:rPr/>
            <w:t>1.</w:t>
            <w:tab/>
            <w:t>The Benefits of the Interim Settlement.</w:t>
            <w:tab/>
          </w:r>
          <w:hyperlink w:anchor="__RefHeading___Toc487881517">
            <w:r>
              <w:rPr>
                <w:rStyle w:val="IndexLink"/>
              </w:rPr>
              <w:t>6</w:t>
            </w:r>
          </w:hyperlink>
        </w:p>
        <w:p>
          <w:pPr>
            <w:pStyle w:val="TOC3"/>
            <w:rPr/>
          </w:pPr>
          <w:r>
            <w:rPr/>
            <w:t>2.</w:t>
            <w:tab/>
            <w:t>The Benefits of the Post-Interim Settlement.</w:t>
            <w:tab/>
          </w:r>
          <w:hyperlink w:anchor="__RefHeading___Toc487881518">
            <w:r>
              <w:rPr>
                <w:rStyle w:val="IndexLink"/>
              </w:rPr>
              <w:t>8</w:t>
            </w:r>
          </w:hyperlink>
        </w:p>
        <w:p>
          <w:pPr>
            <w:pStyle w:val="TOC2"/>
            <w:rPr/>
          </w:pPr>
          <w:r>
            <w:rPr/>
            <w:t>D.</w:t>
            <w:tab/>
            <w:t xml:space="preserve">The Benefits of the Interim and Post-Interim Settlements for Electric </w:t>
            <w:br/>
            <w:t>Generators.</w:t>
            <w:tab/>
          </w:r>
          <w:hyperlink w:anchor="__RefHeading___Toc487881519">
            <w:r>
              <w:rPr>
                <w:rStyle w:val="IndexLink"/>
              </w:rPr>
              <w:t>10</w:t>
            </w:r>
          </w:hyperlink>
        </w:p>
        <w:p>
          <w:pPr>
            <w:pStyle w:val="TOC3"/>
            <w:rPr/>
          </w:pPr>
          <w:r>
            <w:rPr/>
            <w:t>1.</w:t>
            <w:tab/>
            <w:t>The Benefits of the Interim Settlement for Electric Generators.</w:t>
            <w:tab/>
          </w:r>
          <w:hyperlink w:anchor="__RefHeading___Toc487881520">
            <w:r>
              <w:rPr>
                <w:rStyle w:val="IndexLink"/>
              </w:rPr>
              <w:t>11</w:t>
            </w:r>
          </w:hyperlink>
        </w:p>
        <w:p>
          <w:pPr>
            <w:pStyle w:val="TOC3"/>
            <w:rPr/>
          </w:pPr>
          <w:r>
            <w:rPr/>
            <w:t>2.</w:t>
            <w:tab/>
            <w:t>The Benefits of the Post-Interim Settlement for Electric Generators.</w:t>
            <w:tab/>
          </w:r>
          <w:hyperlink w:anchor="__RefHeading___Toc487881521">
            <w:r>
              <w:rPr>
                <w:rStyle w:val="IndexLink"/>
              </w:rPr>
              <w:t>11</w:t>
            </w:r>
          </w:hyperlink>
        </w:p>
        <w:p>
          <w:pPr>
            <w:pStyle w:val="TOC3"/>
            <w:rPr/>
          </w:pPr>
          <w:r>
            <w:rPr/>
            <w:t>3.</w:t>
            <w:tab/>
            <w:t xml:space="preserve">This Summer Shows that California Needs the Existing and New Generation </w:t>
            <w:br/>
            <w:t>that Will Be Benefited by Approval of the Interim and Post-Interim Settlements.</w:t>
            <w:tab/>
          </w:r>
          <w:hyperlink w:anchor="__RefHeading___Toc487881522">
            <w:r>
              <w:rPr>
                <w:rStyle w:val="IndexLink"/>
              </w:rPr>
              <w:t>12</w:t>
            </w:r>
          </w:hyperlink>
        </w:p>
        <w:p>
          <w:pPr>
            <w:pStyle w:val="TOC2"/>
            <w:rPr/>
          </w:pPr>
          <w:r>
            <w:rPr/>
            <w:t>E.</w:t>
            <w:tab/>
            <w:t>The Comprehensive Settlement's Attack On Electric Generators.</w:t>
            <w:tab/>
          </w:r>
          <w:hyperlink w:anchor="__RefHeading___Toc487881523">
            <w:r>
              <w:rPr>
                <w:rStyle w:val="IndexLink"/>
              </w:rPr>
              <w:t>13</w:t>
            </w:r>
          </w:hyperlink>
        </w:p>
        <w:p>
          <w:pPr>
            <w:pStyle w:val="TOC1"/>
            <w:tabs>
              <w:tab w:val="clear" w:pos="720"/>
              <w:tab w:val="right" w:pos="9350" w:leader="dot"/>
            </w:tabs>
            <w:spacing w:lineRule="auto" w:line="240" w:before="120" w:after="0"/>
            <w:rPr/>
          </w:pPr>
          <w:r>
            <w:rPr>
              <w:color w:val="000000"/>
            </w:rPr>
            <w:t>II.</w:t>
          </w:r>
          <w:r>
            <w:rPr/>
            <w:tab/>
            <w:t xml:space="preserve">Transmission: Unbundling Bottleneck Transmission Facilities </w:t>
            <w:br/>
            <w:t xml:space="preserve">Creates Market Opportunities For Marketers but Raises Costs </w:t>
            <w:br/>
            <w:t>and Threatens Reliability for Customers.</w:t>
            <w:tab/>
          </w:r>
          <w:hyperlink w:anchor="__RefHeading___Toc487881524">
            <w:r>
              <w:rPr>
                <w:rStyle w:val="IndexLink"/>
              </w:rPr>
              <w:t>15</w:t>
            </w:r>
          </w:hyperlink>
        </w:p>
        <w:p>
          <w:pPr>
            <w:pStyle w:val="TOC2"/>
            <w:rPr/>
          </w:pPr>
          <w:r>
            <w:rPr/>
            <w:t>A.</w:t>
            <w:tab/>
            <w:t xml:space="preserve">It Is Inappropriate to Foist "Backbone" Unbundling on a System that Lacks </w:t>
            <w:br/>
            <w:t>a Backbone.</w:t>
            <w:tab/>
          </w:r>
          <w:hyperlink w:anchor="__RefHeading___Toc487881525">
            <w:r>
              <w:rPr>
                <w:rStyle w:val="IndexLink"/>
              </w:rPr>
              <w:t>17</w:t>
            </w:r>
          </w:hyperlink>
        </w:p>
        <w:p>
          <w:pPr>
            <w:pStyle w:val="TOC3"/>
            <w:rPr/>
          </w:pPr>
          <w:r>
            <w:rPr/>
            <w:t>1.</w:t>
            <w:tab/>
            <w:t>The SoCalGas System Is Primarily a Grid with Gas Flowing Bi-directionally.</w:t>
            <w:tab/>
          </w:r>
          <w:hyperlink w:anchor="__RefHeading___Toc487881526">
            <w:r>
              <w:rPr>
                <w:rStyle w:val="IndexLink"/>
              </w:rPr>
              <w:t>18</w:t>
            </w:r>
          </w:hyperlink>
        </w:p>
        <w:p>
          <w:pPr>
            <w:pStyle w:val="TOC3"/>
            <w:rPr/>
          </w:pPr>
          <w:r>
            <w:rPr/>
            <w:t>2.</w:t>
            <w:tab/>
            <w:t xml:space="preserve">The SoCalGas System Is Rich in Storage Capacity but Poor in </w:t>
            <w:br/>
            <w:t>Transmission Capacity.</w:t>
            <w:tab/>
          </w:r>
          <w:hyperlink w:anchor="__RefHeading___Toc487881527">
            <w:r>
              <w:rPr>
                <w:rStyle w:val="IndexLink"/>
              </w:rPr>
              <w:t>19</w:t>
            </w:r>
          </w:hyperlink>
        </w:p>
        <w:p>
          <w:pPr>
            <w:pStyle w:val="TOC2"/>
            <w:rPr/>
          </w:pPr>
          <w:r>
            <w:rPr/>
            <w:t>B.</w:t>
            <w:tab/>
            <w:t>Unbundling Bottleneck Facilities that Have a Lower Slack Factor Exposes Customers to the Risk of Higher Gas Prices at the New Downstream Citygates.</w:t>
            <w:tab/>
          </w:r>
          <w:hyperlink w:anchor="__RefHeading___Toc487881528">
            <w:r>
              <w:rPr>
                <w:rStyle w:val="IndexLink"/>
              </w:rPr>
              <w:t>20</w:t>
            </w:r>
          </w:hyperlink>
        </w:p>
        <w:p>
          <w:pPr>
            <w:pStyle w:val="TOC3"/>
            <w:rPr/>
          </w:pPr>
          <w:r>
            <w:rPr/>
            <w:t>1.</w:t>
            <w:tab/>
            <w:t xml:space="preserve">Currently, SoCalGas Customers Benefit from Robust Gas-on-Gas Competition </w:t>
            <w:br/>
            <w:t>at the Existing Citygates.</w:t>
            <w:tab/>
          </w:r>
          <w:hyperlink w:anchor="__RefHeading___Toc487881529">
            <w:r>
              <w:rPr>
                <w:rStyle w:val="IndexLink"/>
              </w:rPr>
              <w:t>20</w:t>
            </w:r>
          </w:hyperlink>
        </w:p>
        <w:p>
          <w:pPr>
            <w:pStyle w:val="TOC3"/>
            <w:rPr/>
          </w:pPr>
          <w:r>
            <w:rPr/>
            <w:t>2.</w:t>
            <w:tab/>
            <w:t xml:space="preserve">The Robust Gas-on-Gas Competition at Existing Citygates Is Made Possible </w:t>
            <w:br/>
            <w:t>by an Ample Slack Factor on Incoming Pipelines.</w:t>
            <w:tab/>
          </w:r>
          <w:hyperlink w:anchor="__RefHeading___Toc487881530">
            <w:r>
              <w:rPr>
                <w:rStyle w:val="IndexLink"/>
              </w:rPr>
              <w:t>21</w:t>
            </w:r>
          </w:hyperlink>
        </w:p>
        <w:p>
          <w:pPr>
            <w:pStyle w:val="TOC3"/>
            <w:rPr/>
          </w:pPr>
          <w:r>
            <w:rPr/>
            <w:t>3.</w:t>
            <w:tab/>
            <w:t xml:space="preserve">SoCalGas' "Backbone" Takeaway Capacity Is a Bottleneck that Has a Lower </w:t>
            <w:br/>
            <w:t>Slack Factor than on the Incoming Pipelines.</w:t>
            <w:tab/>
          </w:r>
          <w:hyperlink w:anchor="__RefHeading___Toc487881531">
            <w:r>
              <w:rPr>
                <w:rStyle w:val="IndexLink"/>
              </w:rPr>
              <w:t>22</w:t>
            </w:r>
          </w:hyperlink>
        </w:p>
        <w:p>
          <w:pPr>
            <w:pStyle w:val="TOC3"/>
            <w:rPr/>
          </w:pPr>
          <w:r>
            <w:rPr/>
            <w:t>4.</w:t>
            <w:tab/>
            <w:t xml:space="preserve">Under the Current Structure, the SoCalGas Receipt Point and "Backbone" </w:t>
            <w:br/>
            <w:t>Bottleneck Has Little Impact on Gas Prices at the Existing Citygates.</w:t>
            <w:tab/>
          </w:r>
          <w:hyperlink w:anchor="__RefHeading___Toc487881532">
            <w:r>
              <w:rPr>
                <w:rStyle w:val="IndexLink"/>
              </w:rPr>
              <w:t>24</w:t>
            </w:r>
          </w:hyperlink>
        </w:p>
        <w:p>
          <w:pPr>
            <w:pStyle w:val="TOC3"/>
            <w:rPr/>
          </w:pPr>
          <w:r>
            <w:rPr/>
            <w:t>5.</w:t>
            <w:tab/>
            <w:t>The Lower "Backbone" Slack Factor Can Lead to Higher Gas Prices at the New Downstream Citygates.</w:t>
            <w:tab/>
          </w:r>
          <w:hyperlink w:anchor="__RefHeading___Toc487881533">
            <w:r>
              <w:rPr>
                <w:rStyle w:val="IndexLink"/>
              </w:rPr>
              <w:t>25</w:t>
            </w:r>
          </w:hyperlink>
        </w:p>
        <w:p>
          <w:pPr>
            <w:pStyle w:val="TOC2"/>
            <w:rPr/>
          </w:pPr>
          <w:r>
            <w:rPr/>
            <w:t>C.</w:t>
            <w:tab/>
            <w:t xml:space="preserve">The Comprehensive Settlement Would Provide an Opportunity for Third </w:t>
            <w:br/>
            <w:t xml:space="preserve">Parties to Seize Control of Essential Bottleneck Facilities that Could </w:t>
            <w:br/>
            <w:t>be Exploited Without Regulatory Constraint.</w:t>
            <w:tab/>
          </w:r>
          <w:hyperlink w:anchor="__RefHeading___Toc487881534">
            <w:r>
              <w:rPr>
                <w:rStyle w:val="IndexLink"/>
              </w:rPr>
              <w:t>25</w:t>
            </w:r>
          </w:hyperlink>
        </w:p>
        <w:p>
          <w:pPr>
            <w:pStyle w:val="TOC3"/>
            <w:rPr/>
          </w:pPr>
          <w:r>
            <w:rPr/>
            <w:t>1.</w:t>
            <w:tab/>
            <w:t xml:space="preserve">Insofar as SoCalGas Would Be Permitted but not Required to Sell Interruptible </w:t>
            <w:br/>
            <w:t xml:space="preserve">Capacity, Interruptible Capacity Sales Would Not Be Dependable Check on </w:t>
            <w:br/>
            <w:t>Third Party Manipulation of Bottleneck Receipt Point and "Backbone" Capacity.</w:t>
            <w:tab/>
          </w:r>
          <w:hyperlink w:anchor="__RefHeading___Toc487881535">
            <w:r>
              <w:rPr>
                <w:rStyle w:val="IndexLink"/>
              </w:rPr>
              <w:t>27</w:t>
            </w:r>
          </w:hyperlink>
        </w:p>
        <w:p>
          <w:pPr>
            <w:pStyle w:val="TOC3"/>
            <w:rPr/>
          </w:pPr>
          <w:r>
            <w:rPr/>
            <w:t>2.</w:t>
            <w:tab/>
            <w:t xml:space="preserve">The 40 Percent Market Concentration Limit Is Narrowly Circumscribed and </w:t>
            <w:br/>
            <w:t>Easily Circumvented.</w:t>
            <w:tab/>
          </w:r>
          <w:hyperlink w:anchor="__RefHeading___Toc487881536">
            <w:r>
              <w:rPr>
                <w:rStyle w:val="IndexLink"/>
              </w:rPr>
              <w:t>29</w:t>
            </w:r>
          </w:hyperlink>
        </w:p>
        <w:p>
          <w:pPr>
            <w:pStyle w:val="TOC2"/>
            <w:rPr/>
          </w:pPr>
          <w:r>
            <w:rPr/>
            <w:t>D.</w:t>
            <w:tab/>
            <w:t xml:space="preserve">Open Season Procedures Proposed in the Comprehensive Settlement Would </w:t>
            <w:br/>
            <w:t xml:space="preserve">Prevent Noncore Customers from Obtaining the Capacity They Need to </w:t>
            <w:br/>
            <w:t>Assure Reliable Gas Transmission Service.</w:t>
            <w:tab/>
          </w:r>
          <w:hyperlink w:anchor="__RefHeading___Toc487881537">
            <w:r>
              <w:rPr>
                <w:rStyle w:val="IndexLink"/>
              </w:rPr>
              <w:t>31</w:t>
            </w:r>
          </w:hyperlink>
        </w:p>
        <w:p>
          <w:pPr>
            <w:pStyle w:val="TOC3"/>
            <w:rPr/>
          </w:pPr>
          <w:r>
            <w:rPr/>
            <w:t>1.</w:t>
            <w:tab/>
            <w:t xml:space="preserve">The Comprehensive Settlement Would Explicitly Prohibit New Generators </w:t>
            <w:br/>
            <w:t xml:space="preserve">From Bidding in the First and Second "Customer-Only" Stages of the Initial </w:t>
            <w:br/>
            <w:t>Open Season.</w:t>
            <w:tab/>
          </w:r>
          <w:hyperlink w:anchor="__RefHeading___Toc487881538">
            <w:r>
              <w:rPr>
                <w:rStyle w:val="IndexLink"/>
              </w:rPr>
              <w:t>33</w:t>
            </w:r>
          </w:hyperlink>
        </w:p>
        <w:p>
          <w:pPr>
            <w:pStyle w:val="TOC3"/>
            <w:rPr/>
          </w:pPr>
          <w:r>
            <w:rPr/>
            <w:t>2.</w:t>
            <w:tab/>
            <w:t xml:space="preserve">The Comprehensive Settlement Would Explicitly Prohibit Noncore Customers, </w:t>
            <w:br/>
            <w:t xml:space="preserve">Including Electric Generators, from Submitting Bids in the First and Second </w:t>
            <w:br/>
            <w:t>Stages to Get Capacity Sufficient to Meet Their Peak Requirements.</w:t>
            <w:tab/>
          </w:r>
          <w:hyperlink w:anchor="__RefHeading___Toc487881539">
            <w:r>
              <w:rPr>
                <w:rStyle w:val="IndexLink"/>
              </w:rPr>
              <w:t>33</w:t>
            </w:r>
          </w:hyperlink>
        </w:p>
        <w:p>
          <w:pPr>
            <w:pStyle w:val="TOC3"/>
            <w:rPr/>
          </w:pPr>
          <w:r>
            <w:rPr/>
            <w:t>3.</w:t>
            <w:tab/>
            <w:t xml:space="preserve">Even If the Comprehensive Settlement Did Not Specifically Prevent Noncore </w:t>
            <w:br/>
            <w:t xml:space="preserve">Customers from Bidding in the First Two Stages of the Initial Open Season for </w:t>
            <w:br/>
            <w:t xml:space="preserve">Capacity Needed for Reliable Service to Meet Peak Need, the Restrictions on </w:t>
            <w:br/>
            <w:t xml:space="preserve">the Amount of Capacity that Would Be Made Available During the First </w:t>
            <w:br/>
            <w:t xml:space="preserve">Two Stages Would Prevent Noncore Customers from Getting Adequate </w:t>
            <w:br/>
            <w:t>Reliability Capacity.</w:t>
            <w:tab/>
          </w:r>
          <w:hyperlink w:anchor="__RefHeading___Toc487881540">
            <w:r>
              <w:rPr>
                <w:rStyle w:val="IndexLink"/>
              </w:rPr>
              <w:t>34</w:t>
            </w:r>
          </w:hyperlink>
        </w:p>
        <w:p>
          <w:pPr>
            <w:pStyle w:val="TOC3"/>
            <w:rPr/>
          </w:pPr>
          <w:r>
            <w:rPr/>
            <w:t>4.</w:t>
            <w:tab/>
            <w:t xml:space="preserve">Customers that Require Highly Reliable Service Cannot Count on Obtaining </w:t>
            <w:br/>
            <w:t>Required Capacity in Stage 3 of the Open Season.</w:t>
            <w:tab/>
          </w:r>
          <w:hyperlink w:anchor="__RefHeading___Toc487881541">
            <w:r>
              <w:rPr>
                <w:rStyle w:val="IndexLink"/>
              </w:rPr>
              <w:t>36</w:t>
            </w:r>
          </w:hyperlink>
        </w:p>
        <w:p>
          <w:pPr>
            <w:pStyle w:val="TOC3"/>
            <w:rPr/>
          </w:pPr>
          <w:r>
            <w:rPr/>
            <w:t>5.</w:t>
            <w:tab/>
            <w:t xml:space="preserve">Noncore Customers that Require Highly Reliable Service Will Not Be Able to </w:t>
            <w:br/>
            <w:t>Rely on the Secondary Market for their Required Capacity.</w:t>
            <w:tab/>
          </w:r>
          <w:hyperlink w:anchor="__RefHeading___Toc487881542">
            <w:r>
              <w:rPr>
                <w:rStyle w:val="IndexLink"/>
              </w:rPr>
              <w:t>37</w:t>
            </w:r>
          </w:hyperlink>
        </w:p>
        <w:p>
          <w:pPr>
            <w:pStyle w:val="TOC3"/>
            <w:rPr/>
          </w:pPr>
          <w:r>
            <w:rPr/>
            <w:t>6.</w:t>
            <w:tab/>
            <w:t xml:space="preserve">Customers that Require Highly Reliable Service Will Not Be Able to Rely </w:t>
            <w:br/>
            <w:t>on Interruptible Capacity.</w:t>
            <w:tab/>
          </w:r>
          <w:hyperlink w:anchor="__RefHeading___Toc487881543">
            <w:r>
              <w:rPr>
                <w:rStyle w:val="IndexLink"/>
              </w:rPr>
              <w:t>41</w:t>
            </w:r>
          </w:hyperlink>
        </w:p>
        <w:p>
          <w:pPr>
            <w:pStyle w:val="TOC2"/>
            <w:rPr/>
          </w:pPr>
          <w:r>
            <w:rPr/>
            <w:t>E.</w:t>
            <w:tab/>
            <w:t xml:space="preserve">The Comprehensive Settlement Violates the "Most Promising Options" </w:t>
            <w:br/>
            <w:t xml:space="preserve">Decision by Preventing Customers that Value Capacity the Most from </w:t>
            <w:br/>
            <w:t>Getting Capacity.</w:t>
            <w:tab/>
          </w:r>
          <w:hyperlink w:anchor="__RefHeading___Toc487881544">
            <w:r>
              <w:rPr>
                <w:rStyle w:val="IndexLink"/>
              </w:rPr>
              <w:t>42</w:t>
            </w:r>
          </w:hyperlink>
        </w:p>
        <w:p>
          <w:pPr>
            <w:pStyle w:val="TOC2"/>
            <w:rPr/>
          </w:pPr>
          <w:r>
            <w:rPr/>
            <w:t>F.</w:t>
            <w:tab/>
            <w:t xml:space="preserve">Unbundling of "Backbone" Capacity Results in the Imposition of Demand </w:t>
            <w:br/>
            <w:t xml:space="preserve">Charges Which Conflicts with Commission Policy, Shifts Risk from </w:t>
            <w:br/>
            <w:t xml:space="preserve">Shareholders to Ratepayers, and Imposes a Price Squeeze on Electric </w:t>
            <w:br/>
            <w:t>Generators.</w:t>
            <w:tab/>
          </w:r>
          <w:hyperlink w:anchor="__RefHeading___Toc487881545">
            <w:r>
              <w:rPr>
                <w:rStyle w:val="IndexLink"/>
              </w:rPr>
              <w:t>44</w:t>
            </w:r>
          </w:hyperlink>
        </w:p>
        <w:p>
          <w:pPr>
            <w:pStyle w:val="TOC3"/>
            <w:rPr/>
          </w:pPr>
          <w:r>
            <w:rPr/>
            <w:t>1.</w:t>
            <w:tab/>
            <w:t xml:space="preserve">The Imposition of Demand Charges Conflicts with Established Commission </w:t>
            <w:br/>
            <w:t>Policy.</w:t>
            <w:tab/>
          </w:r>
          <w:hyperlink w:anchor="__RefHeading___Toc487881546">
            <w:r>
              <w:rPr>
                <w:rStyle w:val="IndexLink"/>
              </w:rPr>
              <w:t>45</w:t>
            </w:r>
          </w:hyperlink>
        </w:p>
        <w:p>
          <w:pPr>
            <w:pStyle w:val="TOC3"/>
            <w:rPr/>
          </w:pPr>
          <w:r>
            <w:rPr/>
            <w:t>2.</w:t>
            <w:tab/>
            <w:t>The Proposed SFV Rate Conflicts with Commission Opposition to SFV Rates for Interstate Pipelines at the FERC.</w:t>
            <w:tab/>
          </w:r>
          <w:hyperlink w:anchor="__RefHeading___Toc487881547">
            <w:r>
              <w:rPr>
                <w:rStyle w:val="IndexLink"/>
              </w:rPr>
              <w:t>46</w:t>
            </w:r>
          </w:hyperlink>
        </w:p>
        <w:p>
          <w:pPr>
            <w:pStyle w:val="TOC3"/>
            <w:rPr/>
          </w:pPr>
          <w:r>
            <w:rPr/>
            <w:t>3.</w:t>
            <w:tab/>
            <w:t>Demand Charges Would Shift Risk from SoCalGas to Ratepayers.</w:t>
            <w:tab/>
          </w:r>
          <w:hyperlink w:anchor="__RefHeading___Toc487881548">
            <w:r>
              <w:rPr>
                <w:rStyle w:val="IndexLink"/>
              </w:rPr>
              <w:t>47</w:t>
            </w:r>
          </w:hyperlink>
        </w:p>
        <w:p>
          <w:pPr>
            <w:pStyle w:val="TOC3"/>
            <w:rPr/>
          </w:pPr>
          <w:r>
            <w:rPr/>
            <w:t>4.</w:t>
            <w:tab/>
            <w:t>Demand Charges Raise Unit Costs for Low Load Factor Customers.</w:t>
            <w:tab/>
          </w:r>
          <w:hyperlink w:anchor="__RefHeading___Toc487881549">
            <w:r>
              <w:rPr>
                <w:rStyle w:val="IndexLink"/>
              </w:rPr>
              <w:t>49</w:t>
            </w:r>
          </w:hyperlink>
        </w:p>
        <w:p>
          <w:pPr>
            <w:pStyle w:val="TOC3"/>
            <w:rPr/>
          </w:pPr>
          <w:r>
            <w:rPr/>
            <w:t>5.</w:t>
            <w:tab/>
            <w:t>A Demand Charge Structure Imposes a Price Squeeze on EG Customers.</w:t>
            <w:tab/>
          </w:r>
          <w:hyperlink w:anchor="__RefHeading___Toc487881550">
            <w:r>
              <w:rPr>
                <w:rStyle w:val="IndexLink"/>
              </w:rPr>
              <w:t>51</w:t>
            </w:r>
          </w:hyperlink>
        </w:p>
        <w:p>
          <w:pPr>
            <w:pStyle w:val="TOC2"/>
            <w:rPr/>
          </w:pPr>
          <w:r>
            <w:rPr/>
            <w:t>G.</w:t>
            <w:tab/>
            <w:t xml:space="preserve">The Comprehensive Settlement Would Harm Core Customers by Reducing </w:t>
            <w:br/>
            <w:t>Their Flexibility to Use Transmission Capacity, Thereby Raising Core Costs.</w:t>
            <w:tab/>
          </w:r>
          <w:hyperlink w:anchor="__RefHeading___Toc487881551">
            <w:r>
              <w:rPr>
                <w:rStyle w:val="IndexLink"/>
              </w:rPr>
              <w:t>54</w:t>
            </w:r>
          </w:hyperlink>
        </w:p>
        <w:p>
          <w:pPr>
            <w:pStyle w:val="TOC2"/>
            <w:rPr/>
          </w:pPr>
          <w:r>
            <w:rPr/>
            <w:t>H.</w:t>
            <w:tab/>
            <w:t>The Benefits of the Comprehensive Settlement Are Illusory.</w:t>
            <w:tab/>
          </w:r>
          <w:hyperlink w:anchor="__RefHeading___Toc487881552">
            <w:r>
              <w:rPr>
                <w:rStyle w:val="IndexLink"/>
              </w:rPr>
              <w:t>55</w:t>
            </w:r>
          </w:hyperlink>
        </w:p>
        <w:p>
          <w:pPr>
            <w:pStyle w:val="TOC1"/>
            <w:tabs>
              <w:tab w:val="clear" w:pos="720"/>
              <w:tab w:val="right" w:pos="9350" w:leader="dot"/>
            </w:tabs>
            <w:spacing w:lineRule="auto" w:line="240" w:before="120" w:after="0"/>
            <w:rPr/>
          </w:pPr>
          <w:r>
            <w:rPr>
              <w:color w:val="000000"/>
            </w:rPr>
            <w:t>III.</w:t>
          </w:r>
          <w:r>
            <w:rPr/>
            <w:tab/>
            <w:t xml:space="preserve">Storage:  The Interim and Post-Interim Settlements Reduce </w:t>
            <w:br/>
            <w:t xml:space="preserve">Rates and Risk for Customers While the Comprehensive </w:t>
            <w:br/>
            <w:t>Settlement Imposes New Risks of Higher Costs.</w:t>
            <w:tab/>
          </w:r>
          <w:hyperlink w:anchor="__RefHeading___Toc487881553">
            <w:r>
              <w:rPr>
                <w:rStyle w:val="IndexLink"/>
              </w:rPr>
              <w:t>56</w:t>
            </w:r>
          </w:hyperlink>
        </w:p>
        <w:p>
          <w:pPr>
            <w:pStyle w:val="TOC2"/>
            <w:rPr/>
          </w:pPr>
          <w:r>
            <w:rPr/>
            <w:t>A.</w:t>
            <w:tab/>
            <w:t xml:space="preserve">The Interim and Post-Interim Settlements Maintain the 1999 SoCalGas </w:t>
            <w:br/>
            <w:t xml:space="preserve">BCAP Core Reservation, While the Comprehensive Settlement Risks </w:t>
            <w:br/>
            <w:t>Causing Higher Costs for the Core by Reducing The Reservation.</w:t>
            <w:tab/>
          </w:r>
          <w:hyperlink w:anchor="__RefHeading___Toc487881554">
            <w:r>
              <w:rPr>
                <w:rStyle w:val="IndexLink"/>
              </w:rPr>
              <w:t>58</w:t>
            </w:r>
          </w:hyperlink>
        </w:p>
        <w:p>
          <w:pPr>
            <w:pStyle w:val="TOC2"/>
            <w:rPr/>
          </w:pPr>
          <w:r>
            <w:rPr/>
            <w:t>B.</w:t>
            <w:tab/>
            <w:t xml:space="preserve">The Post-Interim Settlement Removes Montebello Costs From Rates, </w:t>
            <w:br/>
            <w:t>While The Comprehensive Settlement Does Not.</w:t>
            <w:tab/>
          </w:r>
          <w:hyperlink w:anchor="__RefHeading___Toc487881555">
            <w:r>
              <w:rPr>
                <w:rStyle w:val="IndexLink"/>
              </w:rPr>
              <w:t>59</w:t>
            </w:r>
          </w:hyperlink>
        </w:p>
        <w:p>
          <w:pPr>
            <w:pStyle w:val="TOC2"/>
            <w:rPr/>
          </w:pPr>
          <w:r>
            <w:rPr/>
            <w:t>C.</w:t>
            <w:tab/>
            <w:t xml:space="preserve">The Post-Interim Settlement Provides CTAs with a Reasonable Benefit </w:t>
            <w:br/>
            <w:t>by Unbundling Non-Reliability Storage Costs for CTAs; the Comprehensive Settlement Goes Too Far by Unbundling the Reliability Portion As Well.</w:t>
            <w:tab/>
          </w:r>
          <w:hyperlink w:anchor="__RefHeading___Toc487881556">
            <w:r>
              <w:rPr>
                <w:rStyle w:val="IndexLink"/>
              </w:rPr>
              <w:t>61</w:t>
            </w:r>
          </w:hyperlink>
        </w:p>
        <w:p>
          <w:pPr>
            <w:pStyle w:val="TOC2"/>
            <w:rPr/>
          </w:pPr>
          <w:r>
            <w:rPr/>
            <w:t>D.</w:t>
            <w:tab/>
            <w:t xml:space="preserve">The Interim Settlement Creates a Secondary Market Including an EBB </w:t>
            <w:br/>
            <w:t xml:space="preserve">to Facilitate Trading Storage Contracts, While the Comprehensive </w:t>
            <w:br/>
            <w:t xml:space="preserve">Settlement Jeopardizes the Liquidity of the Secondary Market By </w:t>
            <w:br/>
            <w:t>Imposing Trading Fees.</w:t>
            <w:tab/>
          </w:r>
          <w:hyperlink w:anchor="__RefHeading___Toc487881557">
            <w:r>
              <w:rPr>
                <w:rStyle w:val="IndexLink"/>
              </w:rPr>
              <w:t>62</w:t>
            </w:r>
          </w:hyperlink>
        </w:p>
        <w:p>
          <w:pPr>
            <w:pStyle w:val="TOC2"/>
            <w:rPr/>
          </w:pPr>
          <w:r>
            <w:rPr/>
            <w:t>E.</w:t>
            <w:tab/>
            <w:t xml:space="preserve">Both the Post-Interim Settlement and the Comprehensive Settlement Put </w:t>
            <w:br/>
            <w:t>SoCalGas at Risk for Unbundled Storage Costs.</w:t>
            <w:tab/>
          </w:r>
          <w:hyperlink w:anchor="__RefHeading___Toc487881558">
            <w:r>
              <w:rPr>
                <w:rStyle w:val="IndexLink"/>
              </w:rPr>
              <w:t>64</w:t>
            </w:r>
          </w:hyperlink>
        </w:p>
        <w:p>
          <w:pPr>
            <w:pStyle w:val="TOC2"/>
            <w:rPr/>
          </w:pPr>
          <w:r>
            <w:rPr/>
            <w:t>F.</w:t>
            <w:tab/>
            <w:t xml:space="preserve">The Post-Interim Settlement Would Maintain a Price Cap, Whereas the </w:t>
            <w:br/>
            <w:t xml:space="preserve">Comprehensive Settlement Eliminates All Price Caps on Storage, </w:t>
            <w:br/>
            <w:t>Unreasonably Exposing Customers to Monopoly Pricing.</w:t>
            <w:tab/>
          </w:r>
          <w:hyperlink w:anchor="__RefHeading___Toc487881559">
            <w:r>
              <w:rPr>
                <w:rStyle w:val="IndexLink"/>
              </w:rPr>
              <w:t>65</w:t>
            </w:r>
          </w:hyperlink>
        </w:p>
        <w:p>
          <w:pPr>
            <w:pStyle w:val="TOC3"/>
            <w:rPr/>
          </w:pPr>
          <w:r>
            <w:rPr/>
            <w:t>1.</w:t>
            <w:tab/>
            <w:t xml:space="preserve">Maintaining a Reasonably Liberal Cost Cap Even Though SoCalGas Is at </w:t>
            <w:br/>
            <w:t>Full Risk for Unbundled Storage Revenues Is Consistent with the Gas Accord.</w:t>
            <w:tab/>
          </w:r>
          <w:hyperlink w:anchor="__RefHeading___Toc487881560">
            <w:r>
              <w:rPr>
                <w:rStyle w:val="IndexLink"/>
              </w:rPr>
              <w:t>67</w:t>
            </w:r>
          </w:hyperlink>
        </w:p>
        <w:p>
          <w:pPr>
            <w:pStyle w:val="TOC3"/>
            <w:rPr/>
          </w:pPr>
          <w:r>
            <w:rPr/>
            <w:t>2.</w:t>
            <w:tab/>
            <w:t xml:space="preserve">Under the Comprehensive Settlement, SoCalGas Would Have the Incentive </w:t>
            <w:br/>
            <w:t>as well as the Means to Exploit Potential Storage Customers.</w:t>
            <w:tab/>
          </w:r>
          <w:hyperlink w:anchor="__RefHeading___Toc487881561">
            <w:r>
              <w:rPr>
                <w:rStyle w:val="IndexLink"/>
              </w:rPr>
              <w:t>67</w:t>
            </w:r>
          </w:hyperlink>
        </w:p>
        <w:p>
          <w:pPr>
            <w:pStyle w:val="TOC3"/>
            <w:rPr/>
          </w:pPr>
          <w:r>
            <w:rPr/>
            <w:t>3.</w:t>
            <w:tab/>
            <w:t xml:space="preserve">The Comprehensive Settlement's Standard Storage Package Provides </w:t>
            <w:br/>
            <w:t>Insufficient Protection for Noncore Customers.</w:t>
            <w:tab/>
          </w:r>
          <w:hyperlink w:anchor="__RefHeading___Toc487881562">
            <w:r>
              <w:rPr>
                <w:rStyle w:val="IndexLink"/>
              </w:rPr>
              <w:t>70</w:t>
            </w:r>
          </w:hyperlink>
        </w:p>
        <w:p>
          <w:pPr>
            <w:pStyle w:val="TOC1"/>
            <w:tabs>
              <w:tab w:val="clear" w:pos="720"/>
              <w:tab w:val="right" w:pos="9350" w:leader="dot"/>
            </w:tabs>
            <w:spacing w:lineRule="auto" w:line="240" w:before="120" w:after="0"/>
            <w:rPr/>
          </w:pPr>
          <w:r>
            <w:rPr>
              <w:color w:val="000000"/>
            </w:rPr>
            <w:t>IV.</w:t>
          </w:r>
          <w:r>
            <w:rPr/>
            <w:tab/>
            <w:t xml:space="preserve">Balancing:  The Interim and Post-Interim Settlements Create </w:t>
            <w:br/>
            <w:t xml:space="preserve">New Markets and Enhance Competition, but the Comprehensive Settlement Imposes New Costs, Fees, Risks, and Burdens on </w:t>
            <w:br/>
            <w:t xml:space="preserve">Customer in Order to Create Opportunities for Marketers </w:t>
            <w:br/>
            <w:t>and SoCalGas.</w:t>
            <w:tab/>
          </w:r>
          <w:hyperlink w:anchor="__RefHeading___Toc487881563">
            <w:r>
              <w:rPr>
                <w:rStyle w:val="IndexLink"/>
              </w:rPr>
              <w:t>71</w:t>
            </w:r>
          </w:hyperlink>
        </w:p>
        <w:p>
          <w:pPr>
            <w:pStyle w:val="TOC2"/>
            <w:rPr/>
          </w:pPr>
          <w:r>
            <w:rPr/>
            <w:t>A.</w:t>
            <w:tab/>
            <w:t xml:space="preserve">The Comprehensive Settlement Would Deprive Customers of the Benefit </w:t>
            <w:br/>
            <w:t xml:space="preserve">of Load Diversity by Separating the Core from the Noncore for Load </w:t>
            <w:br/>
            <w:t>Balancing Purposes.</w:t>
            <w:tab/>
          </w:r>
          <w:hyperlink w:anchor="__RefHeading___Toc487881564">
            <w:r>
              <w:rPr>
                <w:rStyle w:val="IndexLink"/>
              </w:rPr>
              <w:t>73</w:t>
            </w:r>
          </w:hyperlink>
        </w:p>
        <w:p>
          <w:pPr>
            <w:pStyle w:val="TOC3"/>
            <w:rPr/>
          </w:pPr>
          <w:r>
            <w:rPr/>
            <w:t>1.</w:t>
            <w:tab/>
            <w:t xml:space="preserve">Both the Core and the Noncore Benefit from Using System-Wide Balancing </w:t>
            <w:br/>
            <w:t>to Take Advantage of Load Diversity.</w:t>
            <w:tab/>
          </w:r>
          <w:hyperlink w:anchor="__RefHeading___Toc487881565">
            <w:r>
              <w:rPr>
                <w:rStyle w:val="IndexLink"/>
              </w:rPr>
              <w:t>73</w:t>
            </w:r>
          </w:hyperlink>
        </w:p>
        <w:p>
          <w:pPr>
            <w:pStyle w:val="TOC3"/>
            <w:rPr/>
          </w:pPr>
          <w:r>
            <w:rPr/>
            <w:t>2.</w:t>
            <w:tab/>
            <w:t xml:space="preserve">The Comprehensive Settlement Would Deprive the Core and Noncore of </w:t>
            <w:br/>
            <w:t xml:space="preserve">the Benefits of Load Diversity While Simultaneously Reducing the Assets </w:t>
            <w:br/>
            <w:t xml:space="preserve">Allocated to the Load Balancing Function, Thereby Dramatically Increasing </w:t>
            <w:br/>
            <w:t>the Frequency of OFOs.</w:t>
            <w:tab/>
          </w:r>
          <w:hyperlink w:anchor="__RefHeading___Toc487881566">
            <w:r>
              <w:rPr>
                <w:rStyle w:val="IndexLink"/>
              </w:rPr>
              <w:t>75</w:t>
            </w:r>
          </w:hyperlink>
        </w:p>
        <w:p>
          <w:pPr>
            <w:pStyle w:val="TOC3"/>
            <w:rPr/>
          </w:pPr>
          <w:r>
            <w:rPr/>
            <w:t>3.</w:t>
            <w:tab/>
            <w:t xml:space="preserve">The Commission Should Adopt the Provisions of the Interim Settlement to </w:t>
            <w:br/>
            <w:t xml:space="preserve">Establish Parity Between the Core and Noncore While Simultaneously </w:t>
            <w:br/>
            <w:t>Retaining for All Customers the Benefits of Load Diversity.</w:t>
            <w:tab/>
          </w:r>
          <w:hyperlink w:anchor="__RefHeading___Toc487881567">
            <w:r>
              <w:rPr>
                <w:rStyle w:val="IndexLink"/>
              </w:rPr>
              <w:t>76</w:t>
            </w:r>
          </w:hyperlink>
        </w:p>
        <w:p>
          <w:pPr>
            <w:pStyle w:val="TOC2"/>
            <w:rPr/>
          </w:pPr>
          <w:r>
            <w:rPr/>
            <w:t>B.</w:t>
            <w:tab/>
            <w:t xml:space="preserve">The Load Balancing Capacity Reservations Adopted in the 1999 SoCalGas </w:t>
            <w:br/>
            <w:t xml:space="preserve">BCAP Should Be Retained at least until the End of the Current </w:t>
            <w:br/>
            <w:t>BCAP Period.</w:t>
            <w:tab/>
          </w:r>
          <w:hyperlink w:anchor="__RefHeading___Toc487881568">
            <w:r>
              <w:rPr>
                <w:rStyle w:val="IndexLink"/>
              </w:rPr>
              <w:t>78</w:t>
            </w:r>
          </w:hyperlink>
        </w:p>
        <w:p>
          <w:pPr>
            <w:pStyle w:val="TOC2"/>
            <w:rPr/>
          </w:pPr>
          <w:r>
            <w:rPr/>
            <w:t>C.</w:t>
            <w:tab/>
            <w:t xml:space="preserve">Self-Balancing Should Be Deferred Until After the End of the </w:t>
            <w:br/>
            <w:t>Current BCAP Period.</w:t>
            <w:tab/>
          </w:r>
          <w:hyperlink w:anchor="__RefHeading___Toc487881569">
            <w:r>
              <w:rPr>
                <w:rStyle w:val="IndexLink"/>
              </w:rPr>
              <w:t>79</w:t>
            </w:r>
          </w:hyperlink>
        </w:p>
        <w:p>
          <w:pPr>
            <w:pStyle w:val="TOC2"/>
            <w:rPr/>
          </w:pPr>
          <w:r>
            <w:rPr/>
            <w:t>D.</w:t>
            <w:tab/>
            <w:t xml:space="preserve">The Commission Should Reject the Comprehensive Settlement Proposal to </w:t>
            <w:br/>
            <w:t xml:space="preserve">Exacerbate the Current Diversion of Hub Revenues from Customers </w:t>
            <w:br/>
            <w:t>to Shareholders.</w:t>
            <w:tab/>
          </w:r>
          <w:hyperlink w:anchor="__RefHeading___Toc487881570">
            <w:r>
              <w:rPr>
                <w:rStyle w:val="IndexLink"/>
              </w:rPr>
              <w:t>80</w:t>
            </w:r>
          </w:hyperlink>
        </w:p>
        <w:p>
          <w:pPr>
            <w:pStyle w:val="TOC2"/>
            <w:rPr/>
          </w:pPr>
          <w:r>
            <w:rPr/>
            <w:t>E.</w:t>
            <w:tab/>
            <w:t>Both the Comprehensive Settlement and the Interim Settlement Would Permit Liberalized Imbalance Trading, but the Comprehensive Settlement Would Compromise Liquidity of the Imbalance Trading Market by Imposing Charges on Trades.</w:t>
            <w:tab/>
          </w:r>
          <w:hyperlink w:anchor="__RefHeading___Toc487881571">
            <w:r>
              <w:rPr>
                <w:rStyle w:val="IndexLink"/>
              </w:rPr>
              <w:t>83</w:t>
            </w:r>
          </w:hyperlink>
        </w:p>
        <w:p>
          <w:pPr>
            <w:pStyle w:val="TOC2"/>
            <w:rPr/>
          </w:pPr>
          <w:r>
            <w:rPr/>
            <w:t>F.</w:t>
            <w:tab/>
            <w:t xml:space="preserve">The Interim Settlement Provision for Indexed Imbalance Charges Should Be Accepted, and the Comprehensive Settlement Provision for Fixed Charges </w:t>
            <w:br/>
            <w:t>Should Be Rejected.</w:t>
            <w:tab/>
          </w:r>
          <w:hyperlink w:anchor="__RefHeading___Toc487881572">
            <w:r>
              <w:rPr>
                <w:rStyle w:val="IndexLink"/>
              </w:rPr>
              <w:t>85</w:t>
            </w:r>
          </w:hyperlink>
        </w:p>
        <w:p>
          <w:pPr>
            <w:pStyle w:val="TOC2"/>
            <w:rPr/>
          </w:pPr>
          <w:r>
            <w:rPr/>
            <w:t>G.</w:t>
            <w:tab/>
            <w:t xml:space="preserve">Imbalance Charge Revenues Should Go to Customers as Provided in </w:t>
            <w:br/>
            <w:t xml:space="preserve">the Interim Settlement Rather Than to SoCalGas as Provided in the </w:t>
            <w:br/>
            <w:t>Comprehensive Settlement.</w:t>
            <w:tab/>
          </w:r>
          <w:hyperlink w:anchor="__RefHeading___Toc487881573">
            <w:r>
              <w:rPr>
                <w:rStyle w:val="IndexLink"/>
              </w:rPr>
              <w:t>85</w:t>
            </w:r>
          </w:hyperlink>
        </w:p>
        <w:p>
          <w:pPr>
            <w:pStyle w:val="TOC2"/>
            <w:rPr/>
          </w:pPr>
          <w:r>
            <w:rPr/>
            <w:t>H.</w:t>
            <w:tab/>
            <w:t xml:space="preserve">Both the Interim and Post-Interim Settlements and the Comprehensive </w:t>
            <w:br/>
            <w:t xml:space="preserve">Settlement Provide for Pooling, but the Comprehensive Settlement </w:t>
            <w:br/>
            <w:t>Reduces Liquidity by Being More Restrictive.</w:t>
            <w:tab/>
          </w:r>
          <w:hyperlink w:anchor="__RefHeading___Toc487881574">
            <w:r>
              <w:rPr>
                <w:rStyle w:val="IndexLink"/>
              </w:rPr>
              <w:t>87</w:t>
            </w:r>
          </w:hyperlink>
        </w:p>
        <w:p>
          <w:pPr>
            <w:pStyle w:val="TOC1"/>
            <w:tabs>
              <w:tab w:val="clear" w:pos="720"/>
              <w:tab w:val="right" w:pos="9350" w:leader="dot"/>
            </w:tabs>
            <w:spacing w:lineRule="auto" w:line="240" w:before="120" w:after="0"/>
            <w:rPr/>
          </w:pPr>
          <w:r>
            <w:rPr>
              <w:color w:val="000000"/>
            </w:rPr>
            <w:t>V.</w:t>
          </w:r>
          <w:r>
            <w:rPr/>
            <w:tab/>
            <w:t xml:space="preserve">Curtailment:  The Comprehensive Settlement Proposal to </w:t>
            <w:br/>
            <w:t xml:space="preserve">Eliminate the Service Interruption Credit Would Eliminate </w:t>
            <w:br/>
            <w:t>SoCalGas' Incentive to Expand the System to Avoid Curtailment.</w:t>
            <w:tab/>
          </w:r>
          <w:hyperlink w:anchor="__RefHeading___Toc487881575">
            <w:r>
              <w:rPr>
                <w:rStyle w:val="IndexLink"/>
              </w:rPr>
              <w:t>88</w:t>
            </w:r>
          </w:hyperlink>
        </w:p>
        <w:p>
          <w:pPr>
            <w:pStyle w:val="TOC1"/>
            <w:tabs>
              <w:tab w:val="clear" w:pos="720"/>
              <w:tab w:val="right" w:pos="9350" w:leader="dot"/>
            </w:tabs>
            <w:spacing w:lineRule="auto" w:line="240" w:before="120" w:after="0"/>
            <w:rPr/>
          </w:pPr>
          <w:r>
            <w:rPr>
              <w:color w:val="000000"/>
            </w:rPr>
            <w:t>VI.</w:t>
          </w:r>
          <w:r>
            <w:rPr/>
            <w:tab/>
            <w:t xml:space="preserve">Wheeler Ridge:  The Commission Should Reject the Comprehensive Settlement's Collateral Attempt to Reverse the Commission’s </w:t>
            <w:br/>
            <w:t xml:space="preserve">Recent Decision in the 1999 SoCalGas BCAP to Require that </w:t>
            <w:br/>
            <w:t xml:space="preserve">Ratepayers Get Consideration in Return for the Rescission </w:t>
            <w:br/>
            <w:t>or Suspension of Wheeler Ridge Access Agreements.</w:t>
            <w:tab/>
          </w:r>
          <w:hyperlink w:anchor="__RefHeading___Toc487881576">
            <w:r>
              <w:rPr>
                <w:rStyle w:val="IndexLink"/>
              </w:rPr>
              <w:t>90</w:t>
            </w:r>
          </w:hyperlink>
        </w:p>
        <w:p>
          <w:pPr>
            <w:pStyle w:val="TOC1"/>
            <w:tabs>
              <w:tab w:val="clear" w:pos="720"/>
              <w:tab w:val="right" w:pos="9350" w:leader="dot"/>
            </w:tabs>
            <w:spacing w:lineRule="auto" w:line="240" w:before="120" w:after="0"/>
            <w:rPr/>
          </w:pPr>
          <w:r>
            <w:rPr>
              <w:color w:val="000000"/>
            </w:rPr>
            <w:t>VII.</w:t>
          </w:r>
          <w:r>
            <w:rPr/>
            <w:tab/>
            <w:t xml:space="preserve">CTA Interstate Pipeline Costs:  Both the Post-Interim Settlement </w:t>
            <w:br/>
            <w:t xml:space="preserve">and the Comprehensive Settlement Unbundle Interstate </w:t>
            <w:br/>
            <w:t xml:space="preserve">Pipeline Costs for CTAs, but the Comprehensive Settlement </w:t>
            <w:br/>
            <w:t xml:space="preserve">Results in a Subsidy of CTAs Which Is both Excessive and Disproportionately Borne by Ratepayer Classes that </w:t>
            <w:br/>
            <w:t>Benefit the Least from CTA Service.</w:t>
            <w:tab/>
          </w:r>
          <w:hyperlink w:anchor="__RefHeading___Toc487881577">
            <w:r>
              <w:rPr>
                <w:rStyle w:val="IndexLink"/>
              </w:rPr>
              <w:t>92</w:t>
            </w:r>
          </w:hyperlink>
        </w:p>
        <w:p>
          <w:pPr>
            <w:pStyle w:val="TOC2"/>
            <w:rPr/>
          </w:pPr>
          <w:r>
            <w:rPr/>
            <w:t>A.</w:t>
            <w:tab/>
            <w:t xml:space="preserve">The Comprehensive Settlement Would Result in a Much Larger Subsidy </w:t>
            <w:br/>
            <w:t>to the CTAs than the Post-Interim Settlement.</w:t>
            <w:tab/>
          </w:r>
          <w:hyperlink w:anchor="__RefHeading___Toc487881578">
            <w:r>
              <w:rPr>
                <w:rStyle w:val="IndexLink"/>
              </w:rPr>
              <w:t>93</w:t>
            </w:r>
          </w:hyperlink>
        </w:p>
        <w:p>
          <w:pPr>
            <w:pStyle w:val="TOC2"/>
            <w:rPr/>
          </w:pPr>
          <w:r>
            <w:rPr/>
            <w:t>B.</w:t>
            <w:tab/>
            <w:t xml:space="preserve">The Comprehensive Settlement Would Recover a Disproportionate </w:t>
            <w:br/>
            <w:t xml:space="preserve">Amount of the CTA Subsidy from Classes that Receive Little or No </w:t>
            <w:br/>
            <w:t>Benefit from the CTA Program.</w:t>
            <w:tab/>
          </w:r>
          <w:hyperlink w:anchor="__RefHeading___Toc487881579">
            <w:r>
              <w:rPr>
                <w:rStyle w:val="IndexLink"/>
              </w:rPr>
              <w:t>96</w:t>
            </w:r>
          </w:hyperlink>
        </w:p>
        <w:p>
          <w:pPr>
            <w:pStyle w:val="TOC2"/>
            <w:rPr/>
          </w:pPr>
          <w:r>
            <w:rPr/>
            <w:t>C.</w:t>
            <w:tab/>
            <w:t xml:space="preserve">The Magnitude of the Comprehensive Settlement CTA Subsidy Is </w:t>
            <w:br/>
            <w:t>Unnecessarily Excessive.</w:t>
            <w:tab/>
          </w:r>
          <w:hyperlink w:anchor="__RefHeading___Toc487881580">
            <w:r>
              <w:rPr>
                <w:rStyle w:val="IndexLink"/>
              </w:rPr>
              <w:t>97</w:t>
            </w:r>
          </w:hyperlink>
        </w:p>
        <w:p>
          <w:pPr>
            <w:pStyle w:val="TOC1"/>
            <w:tabs>
              <w:tab w:val="clear" w:pos="720"/>
              <w:tab w:val="right" w:pos="9350" w:leader="dot"/>
            </w:tabs>
            <w:spacing w:lineRule="auto" w:line="240" w:before="120" w:after="0"/>
            <w:rPr/>
          </w:pPr>
          <w:r>
            <w:rPr>
              <w:color w:val="000000"/>
            </w:rPr>
            <w:t>VIII.</w:t>
          </w:r>
          <w:r>
            <w:rPr/>
            <w:tab/>
            <w:t xml:space="preserve">Information Disclosure:  The Comprehensive Settlement's </w:t>
            <w:br/>
            <w:t xml:space="preserve">Information Disclosure Requirements Failed to Comply </w:t>
            <w:br/>
            <w:t xml:space="preserve">with the California Public Utilities Code and the </w:t>
            <w:br/>
            <w:t>Commission's Existing Rules as well as D.99</w:t>
            <w:noBreakHyphen/>
            <w:t>07-015</w:t>
            <w:tab/>
          </w:r>
          <w:hyperlink w:anchor="__RefHeading___Toc487881581">
            <w:r>
              <w:rPr>
                <w:rStyle w:val="IndexLink"/>
              </w:rPr>
              <w:t>98</w:t>
            </w:r>
          </w:hyperlink>
        </w:p>
        <w:p>
          <w:pPr>
            <w:pStyle w:val="TOC2"/>
            <w:rPr/>
          </w:pPr>
          <w:r>
            <w:rPr/>
            <w:t>A.</w:t>
            <w:tab/>
            <w:t xml:space="preserve">The Comprehensive Settlement's Restrictions on Disclosure of the Details </w:t>
            <w:br/>
            <w:t>of Market Transactions Violate Section 489(a) of the Public Utilities Code.</w:t>
            <w:tab/>
          </w:r>
          <w:hyperlink w:anchor="__RefHeading___Toc487881582">
            <w:r>
              <w:rPr>
                <w:rStyle w:val="IndexLink"/>
              </w:rPr>
              <w:t>99</w:t>
            </w:r>
          </w:hyperlink>
        </w:p>
        <w:p>
          <w:pPr>
            <w:pStyle w:val="TOC2"/>
            <w:rPr/>
          </w:pPr>
          <w:r>
            <w:rPr/>
            <w:t>B.</w:t>
            <w:tab/>
            <w:t xml:space="preserve">The Provisions of the Comprehensive Settlement that Prevent Parity </w:t>
            <w:br/>
            <w:t xml:space="preserve">with FERC Regulations on the Disclosure of Details About Market </w:t>
            <w:br/>
            <w:t>Transactions Conflict with the Commission's Rules Requiring Parity.</w:t>
            <w:tab/>
          </w:r>
          <w:hyperlink w:anchor="__RefHeading___Toc487881583">
            <w:r>
              <w:rPr>
                <w:rStyle w:val="IndexLink"/>
              </w:rPr>
              <w:t>100</w:t>
            </w:r>
          </w:hyperlink>
        </w:p>
        <w:p>
          <w:pPr>
            <w:pStyle w:val="TOC1"/>
            <w:tabs>
              <w:tab w:val="clear" w:pos="720"/>
              <w:tab w:val="right" w:pos="9350" w:leader="dot"/>
            </w:tabs>
            <w:spacing w:lineRule="auto" w:line="240" w:before="120" w:after="0"/>
            <w:rPr/>
          </w:pPr>
          <w:r>
            <w:rPr>
              <w:color w:val="000000"/>
            </w:rPr>
            <w:t>IX.</w:t>
          </w:r>
          <w:r>
            <w:rPr/>
            <w:tab/>
            <w:t xml:space="preserve">Implementation Costs:  The Comprehensive Settlement Sets No </w:t>
            <w:br/>
            <w:t xml:space="preserve">Limits on Implementation Costs, Thereby Permitting SoCalGas </w:t>
            <w:br/>
            <w:t xml:space="preserve">to Retain an Unlimited Amount of Pooling Fees, Imbalance </w:t>
            <w:br/>
            <w:t xml:space="preserve">Fees, Revenues from the Sale or Purchase of Imbalance Gas, </w:t>
            <w:br/>
            <w:t>and Rights Trading Fees.</w:t>
            <w:tab/>
          </w:r>
          <w:hyperlink w:anchor="__RefHeading___Toc487881584">
            <w:r>
              <w:rPr>
                <w:rStyle w:val="IndexLink"/>
              </w:rPr>
              <w:t>102</w:t>
            </w:r>
          </w:hyperlink>
        </w:p>
        <w:p>
          <w:pPr>
            <w:pStyle w:val="TOC2"/>
            <w:rPr/>
          </w:pPr>
          <w:r>
            <w:rPr/>
            <w:t>A.</w:t>
            <w:tab/>
            <w:t xml:space="preserve">The Interim Settlement Contains a Realistic but Definite Cap on </w:t>
            <w:br/>
            <w:t>Implementation Costs.</w:t>
            <w:tab/>
          </w:r>
          <w:hyperlink w:anchor="__RefHeading___Toc487881585">
            <w:r>
              <w:rPr>
                <w:rStyle w:val="IndexLink"/>
              </w:rPr>
              <w:t>102</w:t>
            </w:r>
          </w:hyperlink>
        </w:p>
        <w:p>
          <w:pPr>
            <w:pStyle w:val="TOC2"/>
            <w:rPr/>
          </w:pPr>
          <w:r>
            <w:rPr/>
            <w:t>B.</w:t>
            <w:tab/>
            <w:t xml:space="preserve">Instead of Imposing a Cap on Implementation Costs, the Comprehensive </w:t>
            <w:br/>
            <w:t xml:space="preserve">Settlement Provides a Perverse Incentive to SoCalGas to Run Up Costs </w:t>
            <w:br/>
            <w:t xml:space="preserve">so as to Retain Pooling Service Fees, Imbalance Fees, Revenues from </w:t>
            <w:br/>
            <w:t>the Sale or Purchase of Imbalance Gas, and Rights Trading Fees.</w:t>
            <w:tab/>
          </w:r>
          <w:hyperlink w:anchor="__RefHeading___Toc487881586">
            <w:r>
              <w:rPr>
                <w:rStyle w:val="IndexLink"/>
              </w:rPr>
              <w:t>103</w:t>
            </w:r>
          </w:hyperlink>
        </w:p>
        <w:p>
          <w:pPr>
            <w:pStyle w:val="TOC1"/>
            <w:tabs>
              <w:tab w:val="clear" w:pos="720"/>
              <w:tab w:val="right" w:pos="9350" w:leader="dot"/>
            </w:tabs>
            <w:spacing w:lineRule="auto" w:line="240" w:before="120" w:after="0"/>
            <w:rPr/>
          </w:pPr>
          <w:r>
            <w:rPr>
              <w:color w:val="000000"/>
            </w:rPr>
            <w:t>X.</w:t>
          </w:r>
          <w:r>
            <w:rPr/>
            <w:tab/>
            <w:t xml:space="preserve">ITCS:  Both the Interim and Post-Interim Settlements and the Comprehensive Settlement Eliminate the Core Contribution to Covering ITCS Costs, but the Comprehensive Settlement Fails </w:t>
            <w:br/>
            <w:t>to Provide SoCalGas with an Incentive to Reduce the Costs.</w:t>
            <w:tab/>
          </w:r>
          <w:hyperlink w:anchor="__RefHeading___Toc487881587">
            <w:r>
              <w:rPr>
                <w:rStyle w:val="IndexLink"/>
              </w:rPr>
              <w:t>104</w:t>
            </w:r>
          </w:hyperlink>
        </w:p>
        <w:p>
          <w:pPr>
            <w:pStyle w:val="TOC1"/>
            <w:tabs>
              <w:tab w:val="clear" w:pos="720"/>
              <w:tab w:val="right" w:pos="9350" w:leader="dot"/>
            </w:tabs>
            <w:spacing w:lineRule="auto" w:line="240" w:before="120" w:after="0"/>
            <w:rPr/>
          </w:pPr>
          <w:r>
            <w:rPr>
              <w:color w:val="000000"/>
            </w:rPr>
            <w:t>XI.</w:t>
          </w:r>
          <w:r>
            <w:rPr/>
            <w:tab/>
            <w:t xml:space="preserve">Schedule:  The Interim Settlement Provides for a </w:t>
            <w:br/>
            <w:t xml:space="preserve">Customer-Friendly Schedule for Implementing Reforms </w:t>
            <w:br/>
            <w:t>and for Subsequent Proceedings, Whereas the Comprehensive Settlement Schedule Favors SoCalGas and Marketers.</w:t>
            <w:tab/>
          </w:r>
          <w:hyperlink w:anchor="__RefHeading___Toc487881588">
            <w:r>
              <w:rPr>
                <w:rStyle w:val="IndexLink"/>
              </w:rPr>
              <w:t>106</w:t>
            </w:r>
          </w:hyperlink>
        </w:p>
        <w:p>
          <w:pPr>
            <w:pStyle w:val="TOC2"/>
            <w:rPr/>
          </w:pPr>
          <w:r>
            <w:rPr/>
            <w:t>A.</w:t>
            <w:tab/>
            <w:t>The Interim and Post-Interim Settlements Would Implement Customer-Driven Reforms More Quickly than the Comprehensive Settlement, Whereas the Comprehensive Settlement Would Delay Those Reforms While Unrealistically Rushing the Structural Reforms that Benefit Marketers to the Detriment of Customers.</w:t>
            <w:tab/>
          </w:r>
          <w:hyperlink w:anchor="__RefHeading___Toc487881589">
            <w:r>
              <w:rPr>
                <w:rStyle w:val="IndexLink"/>
              </w:rPr>
              <w:t>106</w:t>
            </w:r>
          </w:hyperlink>
        </w:p>
        <w:p>
          <w:pPr>
            <w:pStyle w:val="TOC2"/>
            <w:rPr/>
          </w:pPr>
          <w:r>
            <w:rPr/>
            <w:t>B.</w:t>
            <w:tab/>
            <w:t xml:space="preserve">The Interim Settlement Provides for Timely Commencement of Subsequent Proceedings, Whereas the Comprehensive Settlement Requires a Delay in </w:t>
            <w:br/>
            <w:t>Filing That Would Prejudice Customers and Advantage the Applicant.</w:t>
            <w:tab/>
          </w:r>
          <w:hyperlink w:anchor="__RefHeading___Toc487881590">
            <w:r>
              <w:rPr>
                <w:rStyle w:val="IndexLink"/>
              </w:rPr>
              <w:t>107</w:t>
            </w:r>
          </w:hyperlink>
        </w:p>
        <w:p>
          <w:pPr>
            <w:pStyle w:val="TOC1"/>
            <w:tabs>
              <w:tab w:val="clear" w:pos="720"/>
              <w:tab w:val="right" w:pos="9350" w:leader="dot"/>
            </w:tabs>
            <w:spacing w:lineRule="auto" w:line="240" w:before="120" w:after="0"/>
            <w:rPr/>
          </w:pPr>
          <w:r>
            <w:rPr>
              <w:color w:val="000000"/>
            </w:rPr>
            <w:t>XII.</w:t>
          </w:r>
          <w:r>
            <w:rPr/>
            <w:tab/>
            <w:t>Conclusion:  Approve the Interim and Post-Interim Settlements and Reject the Comprehensive Settlement.</w:t>
            <w:tab/>
          </w:r>
          <w:hyperlink w:anchor="__RefHeading___Toc487881591">
            <w:r>
              <w:rPr>
                <w:rStyle w:val="IndexLink"/>
              </w:rPr>
              <w:t>109</w:t>
            </w:r>
          </w:hyperlink>
          <w:r>
            <w:rPr>
              <w:rStyle w:val="IndexLink"/>
            </w:rPr>
            <w:fldChar w:fldCharType="end"/>
          </w:r>
        </w:p>
      </w:sdtContent>
    </w:sdt>
    <w:p>
      <w:pPr>
        <w:pStyle w:val="Normal"/>
        <w:spacing w:lineRule="auto" w:line="240" w:before="120" w:after="0"/>
        <w:ind w:hanging="720" w:start="720" w:end="0"/>
        <w:rPr>
          <w:sz w:val="20"/>
        </w:rPr>
      </w:pPr>
      <w:r>
        <w:rPr>
          <w:sz w:val="20"/>
        </w:rPr>
      </w:r>
      <w:r>
        <w:br w:type="page"/>
      </w:r>
    </w:p>
    <w:p>
      <w:pPr>
        <w:pStyle w:val="BodyText"/>
        <w:jc w:val="center"/>
        <w:rPr>
          <w:b/>
          <w:u w:val="single"/>
        </w:rPr>
      </w:pPr>
      <w:r>
        <w:rPr>
          <w:b/>
          <w:u w:val="single"/>
        </w:rPr>
        <w:t>TABLE OF AUTHORITIES</w:t>
      </w:r>
    </w:p>
    <w:p>
      <w:pPr>
        <w:pStyle w:val="BodyText"/>
        <w:jc w:val="end"/>
        <w:rPr/>
      </w:pPr>
      <w:r>
        <w:rPr>
          <w:b/>
          <w:u w:val="single"/>
        </w:rPr>
        <w:t>Page No</w:t>
      </w:r>
      <w:r>
        <w:rPr/>
        <w:t>.</w:t>
      </w:r>
    </w:p>
    <w:p>
      <w:pPr>
        <w:pStyle w:val="TOAHeading"/>
        <w:tabs>
          <w:tab w:val="clear" w:pos="720"/>
          <w:tab w:val="right" w:pos="9350" w:leader="dot"/>
        </w:tabs>
        <w:spacing w:lineRule="auto" w:line="240"/>
        <w:rPr>
          <w:rFonts w:ascii="Times New Roman" w:hAnsi="Times New Roman" w:cs="Times New Roman"/>
          <w:lang w:val="en-CA"/>
        </w:rPr>
      </w:pPr>
      <w:r>
        <w:fldChar w:fldCharType="begin"/>
      </w:r>
      <w:r>
        <w:rPr>
          <w:rFonts w:cs="Times New Roman" w:ascii="Times New Roman" w:hAnsi="Times New Roman"/>
          <w:lang w:val="en-CA"/>
        </w:rPr>
        <w:instrText xml:space="preserve"> TOA \h \c "1" \p </w:instrText>
      </w:r>
      <w:r>
        <w:rPr>
          <w:rFonts w:cs="Times New Roman" w:ascii="Times New Roman" w:hAnsi="Times New Roman"/>
          <w:lang w:val="en-CA"/>
        </w:rPr>
      </w:r>
      <w:r>
        <w:rPr>
          <w:rFonts w:cs="Times New Roman" w:ascii="Times New Roman" w:hAnsi="Times New Roman"/>
          <w:lang w:val="en-CA"/>
        </w:rPr>
        <w:fldChar w:fldCharType="separate"/>
      </w:r>
      <w:r>
        <w:rPr>
          <w:rFonts w:cs="Times New Roman" w:ascii="Times New Roman" w:hAnsi="Times New Roman"/>
          <w:lang w:val="en-CA"/>
        </w:rPr>
        <w:t>Cas</w:t>
      </w:r>
      <w:r>
        <w:rPr>
          <w:rFonts w:cs="Times New Roman" w:ascii="Times New Roman" w:hAnsi="Times New Roman"/>
          <w:b w:val="false"/>
          <w:sz w:val="20"/>
          <w:lang w:val="en-CA"/>
        </w:rPr>
        <w:t>es</w:t>
      </w:r>
    </w:p>
    <w:p>
      <w:pPr>
        <w:pStyle w:val="TableofAuthorities"/>
        <w:tabs>
          <w:tab w:val="clear" w:pos="720"/>
          <w:tab w:val="right" w:pos="9350" w:leader="dot"/>
        </w:tabs>
        <w:spacing w:lineRule="auto" w:line="240" w:before="0" w:after="0"/>
        <w:ind w:hanging="245" w:start="245" w:end="0"/>
        <w:rPr/>
      </w:pPr>
      <w:r>
        <w:rPr>
          <w:u w:val="single"/>
          <w:lang w:val="en-CA"/>
        </w:rPr>
        <w:t>California Public Utilities Commission v. El Paso Natural Gas Company, et. al.</w:t>
      </w:r>
      <w:r>
        <w:rPr>
          <w:lang w:val="en-CA"/>
        </w:rPr>
        <w:t>,</w:t>
        <w:br/>
        <w:t>RP00</w:t>
        <w:noBreakHyphen/>
        <w:t>241</w:t>
        <w:noBreakHyphen/>
        <w:t>000, Complaint, at 27 (April 4, 2000)</w:t>
        <w:tab/>
        <w:t>31, 39, 40</w:t>
      </w:r>
    </w:p>
    <w:p>
      <w:pPr>
        <w:pStyle w:val="TOAHeading"/>
        <w:tabs>
          <w:tab w:val="clear" w:pos="720"/>
          <w:tab w:val="right" w:pos="9350" w:leader="dot"/>
        </w:tabs>
        <w:spacing w:lineRule="auto" w:line="240"/>
        <w:rPr>
          <w:rFonts w:ascii="Times New Roman" w:hAnsi="Times New Roman" w:cs="Times New Roman"/>
          <w:b w:val="false"/>
          <w:sz w:val="20"/>
          <w:lang w:val="en-CA"/>
        </w:rPr>
      </w:pPr>
      <w:r>
        <w:rPr>
          <w:lang w:val="en-CA"/>
        </w:rPr>
      </w:r>
      <w:r>
        <w:rPr>
          <w:lang w:val="en-CA"/>
        </w:rPr>
        <w:fldChar w:fldCharType="end"/>
      </w:r>
      <w:r>
        <w:fldChar w:fldCharType="begin"/>
      </w:r>
      <w:r>
        <w:rPr>
          <w:lang w:val="en-CA"/>
        </w:rPr>
        <w:instrText xml:space="preserve"> TOA \h \c "2" \p </w:instrText>
      </w:r>
      <w:r>
        <w:rPr>
          <w:lang w:val="en-CA"/>
        </w:rPr>
      </w:r>
      <w:r>
        <w:rPr>
          <w:lang w:val="en-CA"/>
        </w:rPr>
        <w:fldChar w:fldCharType="separate"/>
      </w:r>
      <w:r>
        <w:rPr>
          <w:lang w:val="en-CA"/>
        </w:rPr>
      </w:r>
      <w:r>
        <w:rPr>
          <w:rFonts w:cs="Times New Roman" w:ascii="Times New Roman" w:hAnsi="Times New Roman"/>
          <w:lang w:val="en-CA"/>
        </w:rPr>
        <w:t>Statutes</w:t>
      </w:r>
    </w:p>
    <w:p>
      <w:pPr>
        <w:pStyle w:val="TableofAuthorities"/>
        <w:tabs>
          <w:tab w:val="clear" w:pos="720"/>
          <w:tab w:val="right" w:pos="9350" w:leader="dot"/>
        </w:tabs>
        <w:spacing w:lineRule="auto" w:line="240"/>
        <w:ind w:hanging="245" w:start="245" w:end="0"/>
        <w:rPr/>
      </w:pPr>
      <w:r>
        <w:rPr>
          <w:lang w:val="en-CA"/>
        </w:rPr>
        <w:t xml:space="preserve">CPUC </w:t>
      </w:r>
      <w:r>
        <w:rPr>
          <w:rFonts w:eastAsia="WP TypographicSymbols" w:cs="WP TypographicSymbols" w:ascii="WP TypographicSymbols" w:hAnsi="WP TypographicSymbols"/>
          <w:lang w:val="en-CA"/>
        </w:rPr>
        <w:sym w:font="WP TypographicSymbols" w:char="f027"/>
      </w:r>
      <w:r>
        <w:rPr>
          <w:lang w:val="en-CA"/>
        </w:rPr>
        <w:t> 489(a).  Section 489.1</w:t>
        <w:tab/>
        <w:t>99</w:t>
      </w:r>
    </w:p>
    <w:p>
      <w:pPr>
        <w:pStyle w:val="TableofAuthorities"/>
        <w:tabs>
          <w:tab w:val="clear" w:pos="720"/>
          <w:tab w:val="right" w:pos="9350" w:leader="dot"/>
        </w:tabs>
        <w:spacing w:lineRule="auto" w:line="240"/>
        <w:ind w:hanging="245" w:start="245" w:end="0"/>
        <w:rPr>
          <w:b/>
          <w:lang w:val="en-CA"/>
        </w:rPr>
      </w:pPr>
      <w:r>
        <w:rPr>
          <w:b/>
          <w:lang w:val="en-CA"/>
        </w:rPr>
        <w:t>Settlement Provisions</w:t>
      </w:r>
    </w:p>
    <w:p>
      <w:pPr>
        <w:pStyle w:val="TableofAuthorities"/>
        <w:tabs>
          <w:tab w:val="clear" w:pos="720"/>
          <w:tab w:val="right" w:pos="9350" w:leader="dot"/>
        </w:tabs>
        <w:spacing w:lineRule="auto" w:line="240" w:before="0" w:after="0"/>
        <w:rPr/>
      </w:pPr>
      <w:r>
        <w:rPr>
          <w:lang w:val="en-CA"/>
        </w:rPr>
        <w:t xml:space="preserve">CSA </w:t>
      </w:r>
      <w:r>
        <w:rPr>
          <w:rFonts w:eastAsia="WP TypographicSymbols" w:cs="WP TypographicSymbols" w:ascii="WP TypographicSymbols" w:hAnsi="WP TypographicSymbols"/>
          <w:lang w:val="en-CA"/>
        </w:rPr>
        <w:sym w:font="WP TypographicSymbols" w:char="f027"/>
      </w:r>
      <w:r>
        <w:rPr>
          <w:lang w:val="en-CA"/>
        </w:rPr>
        <w:t> 5.3.3.5</w:t>
        <w:tab/>
        <w:t>95</w:t>
      </w:r>
    </w:p>
    <w:p>
      <w:pPr>
        <w:pStyle w:val="TableofAuthorities"/>
        <w:tabs>
          <w:tab w:val="clear" w:pos="720"/>
          <w:tab w:val="right" w:pos="9350" w:leader="dot"/>
        </w:tabs>
        <w:spacing w:lineRule="auto" w:line="240" w:before="0" w:after="0"/>
        <w:rPr/>
      </w:pPr>
      <w:r>
        <w:rPr>
          <w:lang w:val="en-CA"/>
        </w:rPr>
        <w:t xml:space="preserve">CSA </w:t>
      </w:r>
      <w:r>
        <w:rPr>
          <w:rFonts w:eastAsia="WP TypographicSymbols" w:cs="WP TypographicSymbols" w:ascii="WP TypographicSymbols" w:hAnsi="WP TypographicSymbols"/>
          <w:lang w:val="en-CA"/>
        </w:rPr>
        <w:sym w:font="WP TypographicSymbols" w:char="f027"/>
      </w:r>
      <w:r>
        <w:rPr>
          <w:lang w:val="en-CA"/>
        </w:rPr>
        <w:t> 6.2.3</w:t>
        <w:tab/>
        <w:t>98</w:t>
      </w:r>
    </w:p>
    <w:p>
      <w:pPr>
        <w:pStyle w:val="TableofAuthorities"/>
        <w:tabs>
          <w:tab w:val="clear" w:pos="720"/>
          <w:tab w:val="right" w:pos="9350" w:leader="dot"/>
        </w:tabs>
        <w:spacing w:lineRule="auto" w:line="240" w:before="0" w:after="0"/>
        <w:rPr/>
      </w:pPr>
      <w:r>
        <w:rPr>
          <w:lang w:val="en-CA"/>
        </w:rPr>
        <w:t xml:space="preserve">CSA </w:t>
      </w:r>
      <w:r>
        <w:rPr>
          <w:rFonts w:eastAsia="WP TypographicSymbols" w:cs="WP TypographicSymbols" w:ascii="WP TypographicSymbols" w:hAnsi="WP TypographicSymbols"/>
          <w:lang w:val="en-CA"/>
        </w:rPr>
        <w:sym w:font="WP TypographicSymbols" w:char="f027"/>
      </w:r>
      <w:r>
        <w:rPr>
          <w:lang w:val="en-CA"/>
        </w:rPr>
        <w:t> 6.2.3.2</w:t>
        <w:tab/>
        <w:t>98</w:t>
      </w:r>
    </w:p>
    <w:p>
      <w:pPr>
        <w:pStyle w:val="TableofAuthorities"/>
        <w:tabs>
          <w:tab w:val="clear" w:pos="720"/>
          <w:tab w:val="right" w:pos="9350" w:leader="dot"/>
        </w:tabs>
        <w:spacing w:lineRule="auto" w:line="240" w:before="0" w:after="0"/>
        <w:rPr>
          <w:lang w:val="en-CA"/>
        </w:rPr>
      </w:pPr>
      <w:r>
        <w:rPr>
          <w:lang w:val="en-CA"/>
        </w:rPr>
        <w:t>CSA § 1.1.3.1</w:t>
        <w:tab/>
        <w:t>44</w:t>
      </w:r>
    </w:p>
    <w:p>
      <w:pPr>
        <w:pStyle w:val="TableofAuthorities"/>
        <w:tabs>
          <w:tab w:val="clear" w:pos="720"/>
          <w:tab w:val="right" w:pos="9350" w:leader="dot"/>
        </w:tabs>
        <w:spacing w:lineRule="auto" w:line="240" w:before="0" w:after="0"/>
        <w:rPr>
          <w:lang w:val="en-CA"/>
        </w:rPr>
      </w:pPr>
      <w:r>
        <w:rPr>
          <w:lang w:val="en-CA"/>
        </w:rPr>
        <w:t>CSA § 1.1.3.2</w:t>
        <w:tab/>
        <w:t>45, 48</w:t>
      </w:r>
    </w:p>
    <w:p>
      <w:pPr>
        <w:pStyle w:val="TableofAuthorities"/>
        <w:tabs>
          <w:tab w:val="clear" w:pos="720"/>
          <w:tab w:val="right" w:pos="9350" w:leader="dot"/>
        </w:tabs>
        <w:spacing w:lineRule="auto" w:line="240" w:before="0" w:after="0"/>
        <w:rPr>
          <w:lang w:val="en-CA"/>
        </w:rPr>
      </w:pPr>
      <w:r>
        <w:rPr>
          <w:lang w:val="en-CA"/>
        </w:rPr>
        <w:t>CSA § 1.1.3.5.1</w:t>
        <w:tab/>
        <w:t>16, 35, 49</w:t>
      </w:r>
    </w:p>
    <w:p>
      <w:pPr>
        <w:pStyle w:val="TableofAuthorities"/>
        <w:tabs>
          <w:tab w:val="clear" w:pos="720"/>
          <w:tab w:val="right" w:pos="9350" w:leader="dot"/>
        </w:tabs>
        <w:spacing w:lineRule="auto" w:line="240" w:before="0" w:after="0"/>
        <w:rPr>
          <w:lang w:val="en-CA"/>
        </w:rPr>
      </w:pPr>
      <w:r>
        <w:rPr>
          <w:lang w:val="en-CA"/>
        </w:rPr>
        <w:t>CSA § 1.1.3.5.2</w:t>
        <w:tab/>
        <w:t>16</w:t>
      </w:r>
    </w:p>
    <w:p>
      <w:pPr>
        <w:pStyle w:val="TableofAuthorities"/>
        <w:tabs>
          <w:tab w:val="clear" w:pos="720"/>
          <w:tab w:val="right" w:pos="9350" w:leader="dot"/>
        </w:tabs>
        <w:spacing w:lineRule="auto" w:line="240" w:before="0" w:after="0"/>
        <w:rPr>
          <w:lang w:val="en-CA"/>
        </w:rPr>
      </w:pPr>
      <w:r>
        <w:rPr>
          <w:lang w:val="en-CA"/>
        </w:rPr>
        <w:t>CSA § 1.1.3.6</w:t>
        <w:tab/>
        <w:t>16</w:t>
      </w:r>
    </w:p>
    <w:p>
      <w:pPr>
        <w:pStyle w:val="TableofAuthorities"/>
        <w:tabs>
          <w:tab w:val="clear" w:pos="720"/>
          <w:tab w:val="right" w:pos="9350" w:leader="dot"/>
        </w:tabs>
        <w:spacing w:lineRule="auto" w:line="240" w:before="0" w:after="0"/>
        <w:rPr>
          <w:lang w:val="en-CA"/>
        </w:rPr>
      </w:pPr>
      <w:r>
        <w:rPr>
          <w:lang w:val="en-CA"/>
        </w:rPr>
        <w:t>CSA § 1.1.3.6.1</w:t>
        <w:tab/>
        <w:t>33</w:t>
      </w:r>
    </w:p>
    <w:p>
      <w:pPr>
        <w:pStyle w:val="TableofAuthorities"/>
        <w:tabs>
          <w:tab w:val="clear" w:pos="720"/>
          <w:tab w:val="right" w:pos="9350" w:leader="dot"/>
        </w:tabs>
        <w:spacing w:lineRule="auto" w:line="240" w:before="0" w:after="0"/>
        <w:rPr>
          <w:lang w:val="en-CA"/>
        </w:rPr>
      </w:pPr>
      <w:r>
        <w:rPr>
          <w:lang w:val="en-CA"/>
        </w:rPr>
        <w:t>CSA § 1.1.3.6.1</w:t>
        <w:tab/>
        <w:t>33, 35, 41, 45</w:t>
      </w:r>
    </w:p>
    <w:p>
      <w:pPr>
        <w:pStyle w:val="TableofAuthorities"/>
        <w:tabs>
          <w:tab w:val="clear" w:pos="720"/>
          <w:tab w:val="right" w:pos="9350" w:leader="dot"/>
        </w:tabs>
        <w:spacing w:lineRule="auto" w:line="240" w:before="0" w:after="0"/>
        <w:rPr>
          <w:lang w:val="en-CA"/>
        </w:rPr>
      </w:pPr>
      <w:r>
        <w:rPr>
          <w:lang w:val="en-CA"/>
        </w:rPr>
        <w:t>CSA § 1.1.3.6.3</w:t>
        <w:tab/>
        <w:t>37</w:t>
      </w:r>
    </w:p>
    <w:p>
      <w:pPr>
        <w:pStyle w:val="TableofAuthorities"/>
        <w:tabs>
          <w:tab w:val="clear" w:pos="720"/>
          <w:tab w:val="right" w:pos="9350" w:leader="dot"/>
        </w:tabs>
        <w:spacing w:lineRule="auto" w:line="240" w:before="0" w:after="0"/>
        <w:rPr>
          <w:lang w:val="en-CA"/>
        </w:rPr>
      </w:pPr>
      <w:r>
        <w:rPr>
          <w:lang w:val="en-CA"/>
        </w:rPr>
        <w:t>CSA § 1.1.3.6.5</w:t>
        <w:tab/>
        <w:t>43</w:t>
      </w:r>
    </w:p>
    <w:p>
      <w:pPr>
        <w:pStyle w:val="TableofAuthorities"/>
        <w:tabs>
          <w:tab w:val="clear" w:pos="720"/>
          <w:tab w:val="right" w:pos="9350" w:leader="dot"/>
        </w:tabs>
        <w:spacing w:lineRule="auto" w:line="240" w:before="0" w:after="0"/>
        <w:rPr>
          <w:lang w:val="en-CA"/>
        </w:rPr>
      </w:pPr>
      <w:r>
        <w:rPr>
          <w:lang w:val="en-CA"/>
        </w:rPr>
        <w:t>CSA § 1.1.3.7</w:t>
        <w:tab/>
        <w:t>27, 28</w:t>
      </w:r>
    </w:p>
    <w:p>
      <w:pPr>
        <w:pStyle w:val="TableofAuthorities"/>
        <w:tabs>
          <w:tab w:val="clear" w:pos="720"/>
          <w:tab w:val="right" w:pos="9350" w:leader="dot"/>
        </w:tabs>
        <w:spacing w:lineRule="auto" w:line="240" w:before="0" w:after="0"/>
        <w:rPr>
          <w:lang w:val="en-CA"/>
        </w:rPr>
      </w:pPr>
      <w:r>
        <w:rPr>
          <w:lang w:val="en-CA"/>
        </w:rPr>
        <w:t>CSA § 1.1.3.9</w:t>
        <w:tab/>
        <w:t>27, 29, 30</w:t>
      </w:r>
    </w:p>
    <w:p>
      <w:pPr>
        <w:pStyle w:val="TableofAuthorities"/>
        <w:tabs>
          <w:tab w:val="clear" w:pos="720"/>
          <w:tab w:val="right" w:pos="9350" w:leader="dot"/>
        </w:tabs>
        <w:spacing w:lineRule="auto" w:line="240" w:before="0" w:after="0"/>
        <w:rPr>
          <w:lang w:val="en-CA"/>
        </w:rPr>
      </w:pPr>
      <w:r>
        <w:rPr>
          <w:lang w:val="en-CA"/>
        </w:rPr>
        <w:t>CSA § 1.1.7.7</w:t>
        <w:tab/>
        <w:t>29</w:t>
      </w:r>
    </w:p>
    <w:p>
      <w:pPr>
        <w:pStyle w:val="TableofAuthorities"/>
        <w:tabs>
          <w:tab w:val="clear" w:pos="720"/>
          <w:tab w:val="right" w:pos="9350" w:leader="dot"/>
        </w:tabs>
        <w:spacing w:lineRule="auto" w:line="240" w:before="0" w:after="0"/>
        <w:rPr>
          <w:lang w:val="en-CA"/>
        </w:rPr>
      </w:pPr>
      <w:r>
        <w:rPr>
          <w:lang w:val="en-CA"/>
        </w:rPr>
        <w:t>CSA § 1.5.4</w:t>
        <w:tab/>
        <w:t>85, 86</w:t>
      </w:r>
    </w:p>
    <w:p>
      <w:pPr>
        <w:pStyle w:val="TableofAuthorities"/>
        <w:tabs>
          <w:tab w:val="clear" w:pos="720"/>
          <w:tab w:val="right" w:pos="9350" w:leader="dot"/>
        </w:tabs>
        <w:spacing w:lineRule="auto" w:line="240" w:before="0" w:after="0"/>
        <w:rPr>
          <w:lang w:val="en-CA"/>
        </w:rPr>
      </w:pPr>
      <w:r>
        <w:rPr>
          <w:lang w:val="en-CA"/>
        </w:rPr>
        <w:t>CSA § 1.6</w:t>
        <w:tab/>
        <w:t>104</w:t>
      </w:r>
    </w:p>
    <w:p>
      <w:pPr>
        <w:pStyle w:val="TableofAuthorities"/>
        <w:tabs>
          <w:tab w:val="clear" w:pos="720"/>
          <w:tab w:val="right" w:pos="9350" w:leader="dot"/>
        </w:tabs>
        <w:spacing w:lineRule="auto" w:line="240" w:before="0" w:after="0"/>
        <w:rPr>
          <w:lang w:val="en-CA"/>
        </w:rPr>
      </w:pPr>
      <w:r>
        <w:rPr>
          <w:lang w:val="en-CA"/>
        </w:rPr>
        <w:t>CSA § 1.6.1</w:t>
        <w:tab/>
        <w:t>87</w:t>
      </w:r>
    </w:p>
    <w:p>
      <w:pPr>
        <w:pStyle w:val="TableofAuthorities"/>
        <w:tabs>
          <w:tab w:val="clear" w:pos="720"/>
          <w:tab w:val="right" w:pos="9350" w:leader="dot"/>
        </w:tabs>
        <w:spacing w:lineRule="auto" w:line="240" w:before="0" w:after="0"/>
        <w:rPr>
          <w:lang w:val="en-CA"/>
        </w:rPr>
      </w:pPr>
      <w:r>
        <w:rPr>
          <w:lang w:val="en-CA"/>
        </w:rPr>
        <w:t>CSA § 1.9</w:t>
        <w:tab/>
        <w:t>16</w:t>
      </w:r>
    </w:p>
    <w:p>
      <w:pPr>
        <w:pStyle w:val="TableofAuthorities"/>
        <w:tabs>
          <w:tab w:val="clear" w:pos="720"/>
          <w:tab w:val="right" w:pos="9350" w:leader="dot"/>
        </w:tabs>
        <w:spacing w:lineRule="auto" w:line="240" w:before="0" w:after="0"/>
        <w:rPr>
          <w:lang w:val="en-CA"/>
        </w:rPr>
      </w:pPr>
      <w:r>
        <w:rPr>
          <w:lang w:val="en-CA"/>
        </w:rPr>
        <w:t>CSA § 2.1.3.7</w:t>
        <w:tab/>
        <w:t>60</w:t>
      </w:r>
    </w:p>
    <w:p>
      <w:pPr>
        <w:pStyle w:val="TableofAuthorities"/>
        <w:tabs>
          <w:tab w:val="clear" w:pos="720"/>
          <w:tab w:val="right" w:pos="9350" w:leader="dot"/>
        </w:tabs>
        <w:spacing w:lineRule="auto" w:line="240" w:before="0" w:after="0"/>
        <w:rPr>
          <w:lang w:val="en-CA"/>
        </w:rPr>
      </w:pPr>
      <w:r>
        <w:rPr>
          <w:lang w:val="en-CA"/>
        </w:rPr>
        <w:t>CSA § 2.2</w:t>
        <w:tab/>
        <w:t>63</w:t>
      </w:r>
    </w:p>
    <w:p>
      <w:pPr>
        <w:pStyle w:val="TableofAuthorities"/>
        <w:tabs>
          <w:tab w:val="clear" w:pos="720"/>
          <w:tab w:val="right" w:pos="9350" w:leader="dot"/>
        </w:tabs>
        <w:spacing w:lineRule="auto" w:line="240" w:before="0" w:after="0"/>
        <w:rPr>
          <w:lang w:val="en-CA"/>
        </w:rPr>
      </w:pPr>
      <w:r>
        <w:rPr>
          <w:lang w:val="en-CA"/>
        </w:rPr>
        <w:t>CSA § 2.3.3</w:t>
        <w:tab/>
        <w:t>65</w:t>
      </w:r>
    </w:p>
    <w:p>
      <w:pPr>
        <w:pStyle w:val="TableofAuthorities"/>
        <w:tabs>
          <w:tab w:val="clear" w:pos="720"/>
          <w:tab w:val="right" w:pos="9350" w:leader="dot"/>
        </w:tabs>
        <w:spacing w:lineRule="auto" w:line="240" w:before="0" w:after="0"/>
        <w:rPr>
          <w:lang w:val="en-CA"/>
        </w:rPr>
      </w:pPr>
      <w:r>
        <w:rPr>
          <w:lang w:val="en-CA"/>
        </w:rPr>
        <w:t>CSA § 3.1.3</w:t>
        <w:tab/>
        <w:t>86</w:t>
      </w:r>
    </w:p>
    <w:p>
      <w:pPr>
        <w:pStyle w:val="TableofAuthorities"/>
        <w:tabs>
          <w:tab w:val="clear" w:pos="720"/>
          <w:tab w:val="right" w:pos="9350" w:leader="dot"/>
        </w:tabs>
        <w:spacing w:lineRule="auto" w:line="240" w:before="0" w:after="0"/>
        <w:rPr>
          <w:lang w:val="en-CA"/>
        </w:rPr>
      </w:pPr>
      <w:r>
        <w:rPr>
          <w:lang w:val="en-CA"/>
        </w:rPr>
        <w:t>CSA § 3.3.2.3.5</w:t>
        <w:tab/>
        <w:t>84</w:t>
      </w:r>
    </w:p>
    <w:p>
      <w:pPr>
        <w:pStyle w:val="TableofAuthorities"/>
        <w:tabs>
          <w:tab w:val="clear" w:pos="720"/>
          <w:tab w:val="right" w:pos="9350" w:leader="dot"/>
        </w:tabs>
        <w:spacing w:lineRule="auto" w:line="240" w:before="0" w:after="0"/>
        <w:rPr>
          <w:lang w:val="en-CA"/>
        </w:rPr>
      </w:pPr>
      <w:r>
        <w:rPr>
          <w:lang w:val="en-CA"/>
        </w:rPr>
        <w:t>CSA § 3.3.2.3.6</w:t>
        <w:tab/>
        <w:t>85</w:t>
      </w:r>
    </w:p>
    <w:p>
      <w:pPr>
        <w:pStyle w:val="TableofAuthorities"/>
        <w:tabs>
          <w:tab w:val="clear" w:pos="720"/>
          <w:tab w:val="right" w:pos="9350" w:leader="dot"/>
        </w:tabs>
        <w:spacing w:lineRule="auto" w:line="240" w:before="0" w:after="0"/>
        <w:rPr>
          <w:lang w:val="en-CA"/>
        </w:rPr>
      </w:pPr>
      <w:r>
        <w:rPr>
          <w:lang w:val="en-CA"/>
        </w:rPr>
        <w:t>CSA § 3.3.2.4.2</w:t>
        <w:tab/>
        <w:t>84</w:t>
      </w:r>
    </w:p>
    <w:p>
      <w:pPr>
        <w:pStyle w:val="TableofAuthorities"/>
        <w:tabs>
          <w:tab w:val="clear" w:pos="720"/>
          <w:tab w:val="right" w:pos="9350" w:leader="dot"/>
        </w:tabs>
        <w:spacing w:lineRule="auto" w:line="240" w:before="0" w:after="0"/>
        <w:rPr>
          <w:lang w:val="en-CA"/>
        </w:rPr>
      </w:pPr>
      <w:r>
        <w:rPr>
          <w:lang w:val="en-CA"/>
        </w:rPr>
        <w:t>CSA § 4.1.3</w:t>
        <w:tab/>
        <w:t>82</w:t>
      </w:r>
    </w:p>
    <w:p>
      <w:pPr>
        <w:pStyle w:val="TableofAuthorities"/>
        <w:tabs>
          <w:tab w:val="clear" w:pos="720"/>
          <w:tab w:val="right" w:pos="9350" w:leader="dot"/>
        </w:tabs>
        <w:spacing w:lineRule="auto" w:line="240" w:before="0" w:after="0"/>
        <w:rPr>
          <w:lang w:val="en-CA"/>
        </w:rPr>
      </w:pPr>
      <w:r>
        <w:rPr>
          <w:lang w:val="en-CA"/>
        </w:rPr>
        <w:t>CSA § 5.3.3.5</w:t>
        <w:tab/>
        <w:t>105</w:t>
      </w:r>
    </w:p>
    <w:p>
      <w:pPr>
        <w:pStyle w:val="TableofAuthorities"/>
        <w:tabs>
          <w:tab w:val="clear" w:pos="720"/>
          <w:tab w:val="right" w:pos="9350" w:leader="dot"/>
        </w:tabs>
        <w:spacing w:lineRule="auto" w:line="240" w:before="0" w:after="0"/>
        <w:rPr>
          <w:lang w:val="en-CA"/>
        </w:rPr>
      </w:pPr>
      <w:r>
        <w:rPr>
          <w:lang w:val="en-CA"/>
        </w:rPr>
        <w:t>CSA § 5.4.4.3</w:t>
        <w:tab/>
        <w:t>62</w:t>
      </w:r>
    </w:p>
    <w:p>
      <w:pPr>
        <w:pStyle w:val="TableofAuthorities"/>
        <w:tabs>
          <w:tab w:val="clear" w:pos="720"/>
          <w:tab w:val="right" w:pos="9350" w:leader="dot"/>
        </w:tabs>
        <w:spacing w:lineRule="auto" w:line="240" w:before="0" w:after="0"/>
        <w:rPr>
          <w:lang w:val="en-CA"/>
        </w:rPr>
      </w:pPr>
      <w:r>
        <w:rPr>
          <w:lang w:val="en-CA"/>
        </w:rPr>
        <w:t>CSA § 5.4.4.5</w:t>
        <w:tab/>
        <w:t>62</w:t>
      </w:r>
    </w:p>
    <w:p>
      <w:pPr>
        <w:pStyle w:val="TableofAuthorities"/>
        <w:tabs>
          <w:tab w:val="clear" w:pos="720"/>
          <w:tab w:val="right" w:pos="9350" w:leader="dot"/>
        </w:tabs>
        <w:spacing w:lineRule="auto" w:line="240" w:before="0" w:after="0"/>
        <w:rPr>
          <w:lang w:val="en-CA"/>
        </w:rPr>
      </w:pPr>
      <w:r>
        <w:rPr>
          <w:lang w:val="en-CA"/>
        </w:rPr>
        <w:t>CSA § 6.3.1</w:t>
        <w:tab/>
        <w:t>64</w:t>
      </w:r>
    </w:p>
    <w:p>
      <w:pPr>
        <w:pStyle w:val="TableofAuthorities"/>
        <w:tabs>
          <w:tab w:val="clear" w:pos="720"/>
          <w:tab w:val="right" w:pos="9350" w:leader="dot"/>
        </w:tabs>
        <w:spacing w:lineRule="auto" w:line="240" w:before="0" w:after="0"/>
        <w:rPr>
          <w:lang w:val="en-CA"/>
        </w:rPr>
      </w:pPr>
      <w:r>
        <w:rPr>
          <w:lang w:val="en-CA"/>
        </w:rPr>
        <w:t>CSA § 6.3.4</w:t>
        <w:tab/>
        <w:t>64</w:t>
      </w:r>
    </w:p>
    <w:p>
      <w:pPr>
        <w:pStyle w:val="TableofAuthorities"/>
        <w:tabs>
          <w:tab w:val="clear" w:pos="720"/>
          <w:tab w:val="right" w:pos="9350" w:leader="dot"/>
        </w:tabs>
        <w:spacing w:lineRule="auto" w:line="240" w:before="0" w:after="0"/>
        <w:rPr>
          <w:lang w:val="en-CA"/>
        </w:rPr>
      </w:pPr>
      <w:r>
        <w:rPr>
          <w:lang w:val="en-CA"/>
        </w:rPr>
        <w:t>CSA §§ 1.1.3.2</w:t>
        <w:tab/>
        <w:t>44</w:t>
      </w:r>
    </w:p>
    <w:p>
      <w:pPr>
        <w:pStyle w:val="TableofAuthorities"/>
        <w:tabs>
          <w:tab w:val="clear" w:pos="720"/>
          <w:tab w:val="right" w:pos="9350" w:leader="dot"/>
        </w:tabs>
        <w:spacing w:lineRule="auto" w:line="240" w:before="0" w:after="0"/>
        <w:rPr>
          <w:lang w:val="en-CA"/>
        </w:rPr>
      </w:pPr>
      <w:r>
        <w:rPr>
          <w:lang w:val="en-CA"/>
        </w:rPr>
        <w:t>CSA §§ 1.1.3.5.1</w:t>
        <w:tab/>
        <w:t>44</w:t>
      </w:r>
    </w:p>
    <w:p>
      <w:pPr>
        <w:pStyle w:val="TableofAuthorities"/>
        <w:tabs>
          <w:tab w:val="clear" w:pos="720"/>
          <w:tab w:val="right" w:pos="9350" w:leader="dot"/>
        </w:tabs>
        <w:spacing w:lineRule="auto" w:line="240" w:before="0" w:after="0"/>
        <w:rPr>
          <w:lang w:val="en-CA"/>
        </w:rPr>
      </w:pPr>
      <w:r>
        <w:rPr>
          <w:lang w:val="en-CA"/>
        </w:rPr>
        <w:t>CSA §§ 1.1.3.5.3</w:t>
        <w:tab/>
        <w:t>16</w:t>
      </w:r>
    </w:p>
    <w:p>
      <w:pPr>
        <w:pStyle w:val="TableofAuthorities"/>
        <w:tabs>
          <w:tab w:val="clear" w:pos="720"/>
          <w:tab w:val="right" w:pos="9350" w:leader="dot"/>
        </w:tabs>
        <w:spacing w:lineRule="auto" w:line="240" w:before="0" w:after="0"/>
        <w:rPr>
          <w:lang w:val="en-CA"/>
        </w:rPr>
      </w:pPr>
      <w:r>
        <w:rPr>
          <w:lang w:val="en-CA"/>
        </w:rPr>
        <w:t>CSA §§ 1.1.3.5.4</w:t>
        <w:tab/>
        <w:t>16</w:t>
      </w:r>
    </w:p>
    <w:p>
      <w:pPr>
        <w:pStyle w:val="TableofAuthorities"/>
        <w:tabs>
          <w:tab w:val="clear" w:pos="720"/>
          <w:tab w:val="right" w:pos="9350" w:leader="dot"/>
        </w:tabs>
        <w:spacing w:lineRule="auto" w:line="240" w:before="0" w:after="0"/>
        <w:rPr>
          <w:lang w:val="en-CA"/>
        </w:rPr>
      </w:pPr>
      <w:r>
        <w:rPr>
          <w:lang w:val="en-CA"/>
        </w:rPr>
        <w:t>CSA §§ 1.1.3.6.1</w:t>
        <w:tab/>
        <w:t>44</w:t>
      </w:r>
    </w:p>
    <w:p>
      <w:pPr>
        <w:pStyle w:val="TableofAuthorities"/>
        <w:tabs>
          <w:tab w:val="clear" w:pos="720"/>
          <w:tab w:val="right" w:pos="9350" w:leader="dot"/>
        </w:tabs>
        <w:spacing w:lineRule="auto" w:line="240" w:before="0" w:after="0"/>
        <w:rPr>
          <w:lang w:val="en-CA"/>
        </w:rPr>
      </w:pPr>
      <w:r>
        <w:rPr>
          <w:lang w:val="en-CA"/>
        </w:rPr>
        <w:t>CSA §1.1.3.6.6</w:t>
        <w:tab/>
        <w:t>90</w:t>
      </w:r>
    </w:p>
    <w:p>
      <w:pPr>
        <w:pStyle w:val="TableofAuthorities"/>
        <w:tabs>
          <w:tab w:val="clear" w:pos="720"/>
          <w:tab w:val="right" w:pos="9350" w:leader="dot"/>
        </w:tabs>
        <w:spacing w:lineRule="auto" w:line="240" w:before="0" w:after="0"/>
        <w:rPr>
          <w:lang w:val="en-CA"/>
        </w:rPr>
      </w:pPr>
      <w:r>
        <w:rPr>
          <w:lang w:val="en-CA"/>
        </w:rPr>
        <w:t>CSA §1.8</w:t>
        <w:tab/>
        <w:t>108</w:t>
      </w:r>
    </w:p>
    <w:p>
      <w:pPr>
        <w:pStyle w:val="TableofAuthorities"/>
        <w:tabs>
          <w:tab w:val="clear" w:pos="720"/>
          <w:tab w:val="right" w:pos="9350" w:leader="dot"/>
        </w:tabs>
        <w:spacing w:lineRule="auto" w:line="240" w:before="0" w:after="0"/>
        <w:rPr>
          <w:lang w:val="en-CA"/>
        </w:rPr>
      </w:pPr>
      <w:r>
        <w:rPr>
          <w:lang w:val="en-CA"/>
        </w:rPr>
        <w:t>CSA §2.1.3.2</w:t>
        <w:tab/>
        <w:t>59</w:t>
      </w:r>
    </w:p>
    <w:p>
      <w:pPr>
        <w:pStyle w:val="TableofAuthorities"/>
        <w:tabs>
          <w:tab w:val="clear" w:pos="720"/>
          <w:tab w:val="right" w:pos="9350" w:leader="dot"/>
        </w:tabs>
        <w:spacing w:lineRule="auto" w:line="240" w:before="0" w:after="0"/>
        <w:rPr>
          <w:lang w:val="en-CA"/>
        </w:rPr>
      </w:pPr>
      <w:r>
        <w:rPr>
          <w:lang w:val="en-CA"/>
        </w:rPr>
        <w:t>ISA § I.A.</w:t>
        <w:tab/>
        <w:t>26</w:t>
      </w:r>
    </w:p>
    <w:p>
      <w:pPr>
        <w:pStyle w:val="TableofAuthorities"/>
        <w:tabs>
          <w:tab w:val="clear" w:pos="720"/>
          <w:tab w:val="right" w:pos="9350" w:leader="dot"/>
        </w:tabs>
        <w:spacing w:lineRule="auto" w:line="240" w:before="0" w:after="0"/>
        <w:rPr>
          <w:lang w:val="en-CA"/>
        </w:rPr>
      </w:pPr>
      <w:r>
        <w:rPr>
          <w:lang w:val="en-CA"/>
        </w:rPr>
        <w:t>ISA § IX</w:t>
        <w:tab/>
        <w:t>82</w:t>
      </w:r>
    </w:p>
    <w:p>
      <w:pPr>
        <w:pStyle w:val="TableofAuthorities"/>
        <w:tabs>
          <w:tab w:val="clear" w:pos="720"/>
          <w:tab w:val="right" w:pos="9350" w:leader="dot"/>
        </w:tabs>
        <w:spacing w:lineRule="auto" w:line="240" w:before="0" w:after="0"/>
        <w:rPr>
          <w:lang w:val="en-CA"/>
        </w:rPr>
      </w:pPr>
      <w:r>
        <w:rPr>
          <w:lang w:val="en-CA"/>
        </w:rPr>
        <w:t>ISA § VI.B</w:t>
        <w:tab/>
        <w:t>85, 86</w:t>
      </w:r>
    </w:p>
    <w:p>
      <w:pPr>
        <w:pStyle w:val="TableofAuthorities"/>
        <w:tabs>
          <w:tab w:val="clear" w:pos="720"/>
          <w:tab w:val="right" w:pos="9350" w:leader="dot"/>
        </w:tabs>
        <w:spacing w:lineRule="auto" w:line="240" w:before="0" w:after="0"/>
        <w:rPr>
          <w:lang w:val="en-CA"/>
        </w:rPr>
      </w:pPr>
      <w:r>
        <w:rPr>
          <w:lang w:val="en-CA"/>
        </w:rPr>
        <w:t>ISA § VI.C</w:t>
        <w:tab/>
        <w:t>83, 84</w:t>
      </w:r>
    </w:p>
    <w:p>
      <w:pPr>
        <w:pStyle w:val="TableofAuthorities"/>
        <w:tabs>
          <w:tab w:val="clear" w:pos="720"/>
          <w:tab w:val="right" w:pos="9350" w:leader="dot"/>
        </w:tabs>
        <w:spacing w:lineRule="auto" w:line="240" w:before="0" w:after="0"/>
        <w:rPr>
          <w:lang w:val="en-CA"/>
        </w:rPr>
      </w:pPr>
      <w:r>
        <w:rPr>
          <w:lang w:val="en-CA"/>
        </w:rPr>
        <w:t>ISA § VII</w:t>
        <w:tab/>
        <w:t>103</w:t>
      </w:r>
    </w:p>
    <w:p>
      <w:pPr>
        <w:pStyle w:val="TableofAuthorities"/>
        <w:tabs>
          <w:tab w:val="clear" w:pos="720"/>
          <w:tab w:val="right" w:pos="9350" w:leader="dot"/>
        </w:tabs>
        <w:spacing w:lineRule="auto" w:line="240" w:before="0" w:after="0"/>
        <w:rPr>
          <w:lang w:val="en-CA"/>
        </w:rPr>
      </w:pPr>
      <w:r>
        <w:rPr>
          <w:lang w:val="en-CA"/>
        </w:rPr>
        <w:t>ISA § VII.A</w:t>
        <w:tab/>
        <w:t>63</w:t>
      </w:r>
    </w:p>
    <w:p>
      <w:pPr>
        <w:pStyle w:val="TableofAuthorities"/>
        <w:tabs>
          <w:tab w:val="clear" w:pos="720"/>
          <w:tab w:val="right" w:pos="9350" w:leader="dot"/>
        </w:tabs>
        <w:spacing w:lineRule="auto" w:line="240" w:before="0" w:after="0"/>
        <w:rPr>
          <w:lang w:val="en-CA"/>
        </w:rPr>
      </w:pPr>
      <w:r>
        <w:rPr>
          <w:lang w:val="en-CA"/>
        </w:rPr>
        <w:t>ISA § VII.B</w:t>
        <w:tab/>
        <w:t>61</w:t>
      </w:r>
    </w:p>
    <w:p>
      <w:pPr>
        <w:pStyle w:val="TableofAuthorities"/>
        <w:tabs>
          <w:tab w:val="clear" w:pos="720"/>
          <w:tab w:val="right" w:pos="9350" w:leader="dot"/>
        </w:tabs>
        <w:spacing w:lineRule="auto" w:line="240" w:before="0" w:after="0"/>
        <w:rPr>
          <w:lang w:val="en-CA"/>
        </w:rPr>
      </w:pPr>
      <w:r>
        <w:rPr>
          <w:lang w:val="en-CA"/>
        </w:rPr>
        <w:t>ISA § VIII</w:t>
        <w:tab/>
        <w:t>84</w:t>
      </w:r>
    </w:p>
    <w:p>
      <w:pPr>
        <w:pStyle w:val="TableofAuthorities"/>
        <w:tabs>
          <w:tab w:val="clear" w:pos="720"/>
          <w:tab w:val="right" w:pos="9350" w:leader="dot"/>
        </w:tabs>
        <w:spacing w:lineRule="auto" w:line="240" w:before="0" w:after="0"/>
        <w:rPr>
          <w:lang w:val="en-CA"/>
        </w:rPr>
      </w:pPr>
      <w:r>
        <w:rPr>
          <w:lang w:val="en-CA"/>
        </w:rPr>
        <w:t>PSA § 4.1</w:t>
        <w:tab/>
        <w:t>105</w:t>
      </w:r>
    </w:p>
    <w:p>
      <w:pPr>
        <w:pStyle w:val="TableofAuthorities"/>
        <w:tabs>
          <w:tab w:val="clear" w:pos="720"/>
          <w:tab w:val="right" w:pos="9350" w:leader="dot"/>
        </w:tabs>
        <w:spacing w:lineRule="auto" w:line="240" w:before="0" w:after="0"/>
        <w:rPr>
          <w:lang w:val="en-CA"/>
        </w:rPr>
      </w:pPr>
      <w:r>
        <w:rPr>
          <w:lang w:val="en-CA"/>
        </w:rPr>
        <w:t>PSA § 4.2</w:t>
        <w:tab/>
        <w:t>106</w:t>
      </w:r>
    </w:p>
    <w:p>
      <w:pPr>
        <w:pStyle w:val="TableofAuthorities"/>
        <w:tabs>
          <w:tab w:val="clear" w:pos="720"/>
          <w:tab w:val="right" w:pos="9350" w:leader="dot"/>
        </w:tabs>
        <w:spacing w:lineRule="auto" w:line="240" w:before="0" w:after="0"/>
        <w:rPr>
          <w:lang w:val="en-CA"/>
        </w:rPr>
      </w:pPr>
      <w:r>
        <w:rPr>
          <w:lang w:val="en-CA"/>
        </w:rPr>
        <w:t>PSA § 4.2.1</w:t>
        <w:tab/>
        <w:t>105</w:t>
      </w:r>
    </w:p>
    <w:p>
      <w:pPr>
        <w:pStyle w:val="TableofAuthorities"/>
        <w:tabs>
          <w:tab w:val="clear" w:pos="720"/>
          <w:tab w:val="right" w:pos="9350" w:leader="dot"/>
        </w:tabs>
        <w:spacing w:lineRule="auto" w:line="240" w:before="0" w:after="0"/>
        <w:rPr>
          <w:lang w:val="en-CA"/>
        </w:rPr>
      </w:pPr>
      <w:r>
        <w:rPr>
          <w:lang w:val="en-CA"/>
        </w:rPr>
        <w:t>PSA § 4.3.1</w:t>
        <w:tab/>
        <w:t>94</w:t>
      </w:r>
    </w:p>
    <w:p>
      <w:pPr>
        <w:pStyle w:val="TableofAuthorities"/>
        <w:tabs>
          <w:tab w:val="clear" w:pos="720"/>
          <w:tab w:val="right" w:pos="9350" w:leader="dot"/>
        </w:tabs>
        <w:spacing w:lineRule="auto" w:line="240" w:before="0" w:after="0"/>
        <w:rPr>
          <w:lang w:val="en-CA"/>
        </w:rPr>
      </w:pPr>
      <w:r>
        <w:rPr>
          <w:lang w:val="en-CA"/>
        </w:rPr>
        <w:t>PSA § 5.1</w:t>
        <w:tab/>
        <w:t>62</w:t>
      </w:r>
    </w:p>
    <w:p>
      <w:pPr>
        <w:pStyle w:val="TableofAuthorities"/>
        <w:tabs>
          <w:tab w:val="clear" w:pos="720"/>
          <w:tab w:val="right" w:pos="9350" w:leader="dot"/>
        </w:tabs>
        <w:spacing w:lineRule="auto" w:line="240" w:before="0" w:after="0"/>
        <w:rPr>
          <w:lang w:val="en-CA"/>
        </w:rPr>
      </w:pPr>
      <w:r>
        <w:rPr>
          <w:lang w:val="en-CA"/>
        </w:rPr>
        <w:t>PSA §§ 5.4.1</w:t>
        <w:tab/>
        <w:t>65</w:t>
      </w:r>
    </w:p>
    <w:p>
      <w:pPr>
        <w:pStyle w:val="TableofAuthorities"/>
        <w:tabs>
          <w:tab w:val="clear" w:pos="720"/>
          <w:tab w:val="right" w:pos="9350" w:leader="dot"/>
        </w:tabs>
        <w:spacing w:lineRule="auto" w:line="240" w:before="0" w:after="0"/>
        <w:rPr>
          <w:lang w:val="en-CA"/>
        </w:rPr>
      </w:pPr>
      <w:r>
        <w:rPr>
          <w:lang w:val="en-CA"/>
        </w:rPr>
        <w:t>PSA §§ 5.4.2</w:t>
        <w:tab/>
        <w:t>65</w:t>
      </w:r>
    </w:p>
    <w:p>
      <w:pPr>
        <w:pStyle w:val="TableofAuthorities"/>
        <w:tabs>
          <w:tab w:val="clear" w:pos="720"/>
          <w:tab w:val="right" w:pos="9350" w:leader="dot"/>
        </w:tabs>
        <w:spacing w:lineRule="auto" w:line="240" w:before="0" w:after="0"/>
        <w:rPr/>
      </w:pPr>
      <w:r>
        <w:rPr>
          <w:lang w:val="en-CA"/>
        </w:rPr>
      </w:r>
      <w:r>
        <w:rPr>
          <w:lang w:val="en-CA"/>
        </w:rPr>
        <w:fldChar w:fldCharType="end"/>
      </w:r>
      <w:r>
        <w:rPr>
          <w:lang w:val="en-CA"/>
        </w:rPr>
        <w:t>PSA § VIII</w:t>
        <w:tab/>
        <w:t>108</w:t>
      </w:r>
    </w:p>
    <w:p>
      <w:pPr>
        <w:pStyle w:val="TOAHeading"/>
        <w:tabs>
          <w:tab w:val="clear" w:pos="720"/>
          <w:tab w:val="right" w:pos="9350" w:leader="dot"/>
        </w:tabs>
        <w:spacing w:lineRule="auto" w:line="240"/>
        <w:rPr>
          <w:rFonts w:ascii="Times New Roman" w:hAnsi="Times New Roman" w:cs="Times New Roman"/>
          <w:b w:val="false"/>
          <w:sz w:val="20"/>
          <w:lang w:val="en-CA"/>
        </w:rPr>
      </w:pPr>
      <w:r>
        <w:fldChar w:fldCharType="begin"/>
      </w:r>
      <w:r>
        <w:rPr>
          <w:rFonts w:cs="Times New Roman" w:ascii="Times New Roman" w:hAnsi="Times New Roman"/>
          <w:lang w:val="en-CA"/>
        </w:rPr>
        <w:instrText xml:space="preserve"> TOA \h \c "3" \p </w:instrText>
      </w:r>
      <w:r>
        <w:rPr>
          <w:rFonts w:cs="Times New Roman" w:ascii="Times New Roman" w:hAnsi="Times New Roman"/>
          <w:lang w:val="en-CA"/>
        </w:rPr>
      </w:r>
      <w:r>
        <w:rPr>
          <w:rFonts w:cs="Times New Roman" w:ascii="Times New Roman" w:hAnsi="Times New Roman"/>
          <w:lang w:val="en-CA"/>
        </w:rPr>
        <w:fldChar w:fldCharType="separate"/>
      </w:r>
      <w:r>
        <w:t>Other Authorities</w:t>
      </w:r>
      <w:r>
        <w:rPr>
          <w:rFonts w:cs="Times New Roman" w:ascii="Times New Roman" w:hAnsi="Times New Roman"/>
          <w:lang w:val="en-CA"/>
        </w:rPr>
      </w:r>
    </w:p>
    <w:p>
      <w:pPr>
        <w:pStyle w:val="TableofAuthorities"/>
        <w:tabs>
          <w:tab w:val="clear" w:pos="720"/>
          <w:tab w:val="right" w:pos="9350" w:leader="dot"/>
        </w:tabs>
        <w:spacing w:lineRule="auto" w:line="240"/>
        <w:ind w:hanging="245" w:start="245" w:end="0"/>
        <w:rPr/>
      </w:pPr>
      <w:r>
        <w:rPr>
          <w:lang w:val="en-CA"/>
        </w:rPr>
        <w:t>"</w:t>
      </w:r>
      <w:r>
        <w:rPr>
          <w:u w:val="single"/>
          <w:lang w:val="en-CA"/>
        </w:rPr>
        <w:t>What Can We Expect From Restructuring In Natural Gas Distribution</w:t>
      </w:r>
      <w:r>
        <w:rPr>
          <w:lang w:val="en-CA"/>
        </w:rPr>
        <w:t>," 21 Energy Law Journal 51, 53 (2000)</w:t>
        <w:tab/>
        <w:t>2</w:t>
      </w:r>
    </w:p>
    <w:p>
      <w:pPr>
        <w:pStyle w:val="TableofAuthorities"/>
        <w:tabs>
          <w:tab w:val="clear" w:pos="720"/>
          <w:tab w:val="right" w:pos="9350" w:leader="dot"/>
        </w:tabs>
        <w:spacing w:lineRule="auto" w:line="240"/>
        <w:ind w:hanging="245" w:start="245" w:end="0"/>
        <w:rPr/>
      </w:pPr>
      <w:r>
        <w:rPr>
          <w:u w:val="single"/>
          <w:lang w:val="en-CA"/>
        </w:rPr>
        <w:t>Alternatives to Traditional Costs-of-Service Rate Making for Natural Gas Pipelines,</w:t>
      </w:r>
      <w:r>
        <w:rPr>
          <w:lang w:val="en-CA"/>
        </w:rPr>
        <w:t xml:space="preserve"> 75 FERC 61,076, at 61,241 (1996)</w:t>
        <w:tab/>
        <w:t>100</w:t>
      </w:r>
    </w:p>
    <w:p>
      <w:pPr>
        <w:pStyle w:val="TableofAuthorities"/>
        <w:tabs>
          <w:tab w:val="clear" w:pos="720"/>
          <w:tab w:val="right" w:pos="9350" w:leader="dot"/>
        </w:tabs>
        <w:spacing w:lineRule="auto" w:line="240"/>
        <w:ind w:hanging="245" w:start="245" w:end="0"/>
        <w:rPr>
          <w:lang w:val="en-CA"/>
        </w:rPr>
      </w:pPr>
      <w:r>
        <w:rPr>
          <w:lang w:val="en-CA"/>
        </w:rPr>
        <w:t>Comments of the Public Utilities Commission of the State of California on Pipeline Service Obligations and Related Transportation Issues, FERC Docket No. RM91-11-000, at 3 (Oct. 11, 1991)</w:t>
        <w:tab/>
        <w:t>46</w:t>
      </w:r>
    </w:p>
    <w:p>
      <w:pPr>
        <w:pStyle w:val="TableofAuthorities"/>
        <w:tabs>
          <w:tab w:val="clear" w:pos="720"/>
          <w:tab w:val="right" w:pos="9350" w:leader="dot"/>
        </w:tabs>
        <w:spacing w:lineRule="auto" w:line="240"/>
        <w:ind w:hanging="245" w:start="245" w:end="0"/>
        <w:rPr>
          <w:lang w:val="en-CA"/>
        </w:rPr>
      </w:pPr>
      <w:r>
        <w:rPr>
          <w:lang w:val="en-CA"/>
        </w:rPr>
        <w:t>Comments of the Public Utilities Commission of the State of California on Rate Design Policy Issues, FERC Docket No. PL89-2-005, at 3-4 (Jan. 17, 1991)</w:t>
        <w:tab/>
        <w:t>46</w:t>
      </w:r>
    </w:p>
    <w:p>
      <w:pPr>
        <w:pStyle w:val="TableofAuthorities"/>
        <w:tabs>
          <w:tab w:val="clear" w:pos="720"/>
          <w:tab w:val="right" w:pos="9350" w:leader="dot"/>
        </w:tabs>
        <w:spacing w:lineRule="auto" w:line="240"/>
        <w:ind w:hanging="245" w:start="245" w:end="0"/>
        <w:rPr>
          <w:lang w:val="en-CA"/>
        </w:rPr>
      </w:pPr>
      <w:r>
        <w:rPr>
          <w:lang w:val="en-CA"/>
        </w:rPr>
        <w:t>D.00-04-060, slip op. at 70</w:t>
        <w:tab/>
        <w:t>90, 91</w:t>
      </w:r>
    </w:p>
    <w:p>
      <w:pPr>
        <w:pStyle w:val="TableofAuthorities"/>
        <w:tabs>
          <w:tab w:val="clear" w:pos="720"/>
          <w:tab w:val="right" w:pos="9350" w:leader="dot"/>
        </w:tabs>
        <w:spacing w:lineRule="auto" w:line="240"/>
        <w:ind w:hanging="245" w:start="245" w:end="0"/>
        <w:rPr>
          <w:lang w:val="en-CA"/>
        </w:rPr>
      </w:pPr>
      <w:r>
        <w:rPr>
          <w:lang w:val="en-CA"/>
        </w:rPr>
        <w:t>D.91-11-025, slip op. at 29-31</w:t>
        <w:tab/>
        <w:t>89</w:t>
      </w:r>
    </w:p>
    <w:p>
      <w:pPr>
        <w:pStyle w:val="TableofAuthorities"/>
        <w:tabs>
          <w:tab w:val="clear" w:pos="720"/>
          <w:tab w:val="right" w:pos="9350" w:leader="dot"/>
        </w:tabs>
        <w:spacing w:lineRule="auto" w:line="240"/>
        <w:ind w:hanging="245" w:start="245" w:end="0"/>
        <w:rPr>
          <w:lang w:val="en-CA"/>
        </w:rPr>
      </w:pPr>
      <w:r>
        <w:rPr>
          <w:lang w:val="en-CA"/>
        </w:rPr>
        <w:t>D.99-07-015, slip op. at 13-14</w:t>
        <w:tab/>
        <w:t>42</w:t>
      </w:r>
    </w:p>
    <w:p>
      <w:pPr>
        <w:pStyle w:val="TableofAuthorities"/>
        <w:tabs>
          <w:tab w:val="clear" w:pos="720"/>
          <w:tab w:val="right" w:pos="9350" w:leader="dot"/>
        </w:tabs>
        <w:spacing w:lineRule="auto" w:line="240"/>
        <w:ind w:hanging="245" w:start="245" w:end="0"/>
        <w:rPr>
          <w:lang w:val="en-CA"/>
        </w:rPr>
      </w:pPr>
      <w:r>
        <w:rPr>
          <w:lang w:val="en-CA"/>
        </w:rPr>
        <w:t>D.99-07-015, slip op. at 23</w:t>
        <w:tab/>
        <w:t>65</w:t>
      </w:r>
    </w:p>
    <w:p>
      <w:pPr>
        <w:pStyle w:val="TableofAuthorities"/>
        <w:tabs>
          <w:tab w:val="clear" w:pos="720"/>
          <w:tab w:val="right" w:pos="9350" w:leader="dot"/>
        </w:tabs>
        <w:spacing w:lineRule="auto" w:line="240"/>
        <w:ind w:hanging="245" w:start="245" w:end="0"/>
        <w:rPr>
          <w:lang w:val="en-CA"/>
        </w:rPr>
      </w:pPr>
      <w:r>
        <w:rPr>
          <w:lang w:val="en-CA"/>
        </w:rPr>
        <w:t>D.99-07-015, slip op. at 43</w:t>
        <w:tab/>
        <w:t>67</w:t>
      </w:r>
    </w:p>
    <w:p>
      <w:pPr>
        <w:pStyle w:val="TableofAuthorities"/>
        <w:tabs>
          <w:tab w:val="clear" w:pos="720"/>
          <w:tab w:val="right" w:pos="9350" w:leader="dot"/>
        </w:tabs>
        <w:spacing w:lineRule="auto" w:line="240"/>
        <w:ind w:hanging="245" w:start="245" w:end="0"/>
        <w:rPr>
          <w:lang w:val="en-CA"/>
        </w:rPr>
      </w:pPr>
      <w:r>
        <w:rPr>
          <w:lang w:val="en-CA"/>
        </w:rPr>
        <w:t>D.99-07-015, slip op. at 48</w:t>
        <w:tab/>
        <w:t>80</w:t>
      </w:r>
    </w:p>
    <w:p>
      <w:pPr>
        <w:pStyle w:val="TableofAuthorities"/>
        <w:tabs>
          <w:tab w:val="clear" w:pos="720"/>
          <w:tab w:val="right" w:pos="9350" w:leader="dot"/>
        </w:tabs>
        <w:spacing w:lineRule="auto" w:line="240"/>
        <w:ind w:hanging="245" w:start="245" w:end="0"/>
        <w:rPr>
          <w:lang w:val="en-CA"/>
        </w:rPr>
      </w:pPr>
      <w:r>
        <w:rPr>
          <w:lang w:val="en-CA"/>
        </w:rPr>
        <w:t>D.99</w:t>
        <w:noBreakHyphen/>
        <w:t>07</w:t>
        <w:noBreakHyphen/>
        <w:t>015, slip op. at 65-66</w:t>
        <w:tab/>
        <w:t>98</w:t>
      </w:r>
    </w:p>
    <w:p>
      <w:pPr>
        <w:pStyle w:val="TableofAuthorities"/>
        <w:tabs>
          <w:tab w:val="clear" w:pos="720"/>
          <w:tab w:val="right" w:pos="9350" w:leader="dot"/>
        </w:tabs>
        <w:spacing w:lineRule="auto" w:line="240"/>
        <w:ind w:hanging="245" w:start="245" w:end="0"/>
        <w:rPr>
          <w:lang w:val="en-CA"/>
        </w:rPr>
      </w:pPr>
      <w:r>
        <w:rPr>
          <w:lang w:val="en-CA"/>
        </w:rPr>
        <w:t>D.99</w:t>
        <w:noBreakHyphen/>
        <w:t>07</w:t>
        <w:noBreakHyphen/>
        <w:t>015, slip op. at 77</w:t>
        <w:tab/>
        <w:t>101</w:t>
      </w:r>
    </w:p>
    <w:p>
      <w:pPr>
        <w:pStyle w:val="TableofAuthorities"/>
        <w:tabs>
          <w:tab w:val="clear" w:pos="720"/>
          <w:tab w:val="right" w:pos="9350" w:leader="dot"/>
        </w:tabs>
        <w:spacing w:lineRule="auto" w:line="240"/>
        <w:ind w:hanging="245" w:start="245" w:end="0"/>
        <w:rPr>
          <w:lang w:val="en-CA"/>
        </w:rPr>
      </w:pPr>
      <w:r>
        <w:rPr>
          <w:lang w:val="en-CA"/>
        </w:rPr>
        <w:t>D99-07-015, slip op. at 77</w:t>
        <w:tab/>
        <w:t>98</w:t>
      </w:r>
    </w:p>
    <w:p>
      <w:pPr>
        <w:pStyle w:val="TableofAuthorities"/>
        <w:tabs>
          <w:tab w:val="clear" w:pos="720"/>
          <w:tab w:val="right" w:pos="9350" w:leader="dot"/>
        </w:tabs>
        <w:spacing w:lineRule="auto" w:line="240"/>
        <w:ind w:hanging="245" w:start="245" w:end="0"/>
        <w:rPr/>
      </w:pPr>
      <w:r>
        <w:rPr>
          <w:u w:val="single"/>
          <w:lang w:val="en-CA"/>
        </w:rPr>
        <w:t>El Paso Natural Gas Company</w:t>
      </w:r>
      <w:r>
        <w:rPr>
          <w:lang w:val="en-CA"/>
        </w:rPr>
        <w:t xml:space="preserve"> 90 FERC ¶ 61,050, at p.61,217 (January 19, 2000)</w:t>
        <w:tab/>
        <w:t>40</w:t>
      </w:r>
    </w:p>
    <w:p>
      <w:pPr>
        <w:pStyle w:val="TableofAuthorities"/>
        <w:tabs>
          <w:tab w:val="clear" w:pos="720"/>
          <w:tab w:val="right" w:pos="9350" w:leader="dot"/>
        </w:tabs>
        <w:spacing w:lineRule="auto" w:line="240"/>
        <w:ind w:hanging="245" w:start="245" w:end="0"/>
        <w:rPr/>
      </w:pPr>
      <w:r>
        <w:rPr>
          <w:u w:val="single"/>
          <w:lang w:val="en-CA"/>
        </w:rPr>
        <w:t>Energy Law Journal</w:t>
      </w:r>
      <w:r>
        <w:rPr>
          <w:lang w:val="en-CA"/>
        </w:rPr>
        <w:tab/>
        <w:t>44</w:t>
      </w:r>
    </w:p>
    <w:p>
      <w:pPr>
        <w:pStyle w:val="TableofAuthorities"/>
        <w:tabs>
          <w:tab w:val="clear" w:pos="720"/>
          <w:tab w:val="right" w:pos="9350" w:leader="dot"/>
        </w:tabs>
        <w:spacing w:lineRule="auto" w:line="240"/>
        <w:ind w:hanging="245" w:start="245" w:end="0"/>
        <w:rPr>
          <w:lang w:val="en-CA"/>
        </w:rPr>
      </w:pPr>
      <w:r>
        <w:rPr>
          <w:lang w:val="en-CA"/>
        </w:rPr>
        <w:t>FERC ¶ 61,185 (November 10, 1999)</w:t>
        <w:tab/>
        <w:t>43</w:t>
      </w:r>
    </w:p>
    <w:p>
      <w:pPr>
        <w:pStyle w:val="TableofAuthorities"/>
        <w:tabs>
          <w:tab w:val="clear" w:pos="720"/>
          <w:tab w:val="right" w:pos="9350" w:leader="dot"/>
        </w:tabs>
        <w:spacing w:lineRule="auto" w:line="240"/>
        <w:ind w:hanging="245" w:start="245" w:end="0"/>
        <w:rPr>
          <w:lang w:val="en-CA"/>
        </w:rPr>
      </w:pPr>
      <w:r>
        <w:rPr>
          <w:lang w:val="en-CA"/>
        </w:rPr>
        <w:t>FERC's Order No. 636 (April 8, 1992)</w:t>
        <w:tab/>
        <w:t>47</w:t>
      </w:r>
    </w:p>
    <w:p>
      <w:pPr>
        <w:pStyle w:val="TableofAuthorities"/>
        <w:tabs>
          <w:tab w:val="clear" w:pos="720"/>
          <w:tab w:val="right" w:pos="9350" w:leader="dot"/>
        </w:tabs>
        <w:spacing w:lineRule="auto" w:line="240"/>
        <w:rPr>
          <w:lang w:val="en-CA"/>
        </w:rPr>
      </w:pPr>
      <w:r>
        <w:rPr>
          <w:lang w:val="en-CA"/>
        </w:rPr>
        <w:t>FERCSR ¶ 31,091 (February 9, 2000)</w:t>
        <w:tab/>
        <w:t>28</w:t>
      </w:r>
    </w:p>
    <w:p>
      <w:pPr>
        <w:pStyle w:val="TableofAuthorities"/>
        <w:tabs>
          <w:tab w:val="clear" w:pos="720"/>
          <w:tab w:val="right" w:pos="9350" w:leader="dot"/>
        </w:tabs>
        <w:spacing w:lineRule="auto" w:line="240"/>
        <w:rPr>
          <w:lang w:val="en-CA"/>
        </w:rPr>
      </w:pPr>
      <w:r>
        <w:rPr>
          <w:lang w:val="en-CA"/>
        </w:rPr>
        <w:t>Northern Natural Gas Company, 62 FERC ¶ 61,075 at 61,428 (1993)</w:t>
        <w:tab/>
        <w:t>43</w:t>
      </w:r>
    </w:p>
    <w:p>
      <w:pPr>
        <w:pStyle w:val="TableofAuthorities"/>
        <w:tabs>
          <w:tab w:val="clear" w:pos="720"/>
          <w:tab w:val="right" w:pos="9350" w:leader="dot"/>
        </w:tabs>
        <w:spacing w:lineRule="auto" w:line="240"/>
        <w:rPr>
          <w:lang w:val="en-CA"/>
        </w:rPr>
      </w:pPr>
      <w:r>
        <w:rPr>
          <w:lang w:val="en-CA"/>
        </w:rPr>
        <w:t>Order 637, RM98-10-000, slip op. at 58 (February 25, 2000)</w:t>
        <w:tab/>
        <w:t>55</w:t>
      </w:r>
    </w:p>
    <w:p>
      <w:pPr>
        <w:pStyle w:val="TableofAuthorities"/>
        <w:tabs>
          <w:tab w:val="clear" w:pos="720"/>
          <w:tab w:val="right" w:pos="9350" w:leader="dot"/>
        </w:tabs>
        <w:spacing w:lineRule="auto" w:line="240"/>
        <w:ind w:hanging="245" w:start="245" w:end="0"/>
        <w:rPr>
          <w:lang w:val="en-CA"/>
        </w:rPr>
      </w:pPr>
      <w:r>
        <w:rPr>
          <w:lang w:val="en-CA"/>
        </w:rPr>
        <w:t>Request for Rehearing of the Public Utilities Commission of the State of California, FERC Docket No. RM 91-11-000, at 9 (May 7, 1992)</w:t>
        <w:tab/>
        <w:t>47</w:t>
      </w:r>
    </w:p>
    <w:p>
      <w:pPr>
        <w:pStyle w:val="TableofAuthorities"/>
        <w:tabs>
          <w:tab w:val="clear" w:pos="720"/>
          <w:tab w:val="right" w:pos="9350" w:leader="dot"/>
        </w:tabs>
        <w:spacing w:lineRule="auto" w:line="240"/>
        <w:rPr>
          <w:lang w:val="en-CA"/>
        </w:rPr>
      </w:pPr>
      <w:r>
        <w:rPr>
          <w:lang w:val="en-CA"/>
        </w:rPr>
        <w:t>Tennessee Gas Pipeline Company, 76 FERC ¶ 61,101 at 61,522 (1996)</w:t>
        <w:tab/>
        <w:t>43</w:t>
      </w:r>
    </w:p>
    <w:p>
      <w:pPr>
        <w:pStyle w:val="TableofAuthorities"/>
        <w:tabs>
          <w:tab w:val="clear" w:pos="720"/>
          <w:tab w:val="right" w:pos="9350" w:leader="dot"/>
        </w:tabs>
        <w:spacing w:before="0" w:after="240"/>
        <w:rPr>
          <w:lang w:val="en-CA"/>
        </w:rPr>
      </w:pPr>
      <w:r>
        <w:rPr>
          <w:lang w:val="en-CA"/>
        </w:rPr>
        <w:t>Texas Eastern Transmission Corporation, 79 FERC ¶ 61,258 at 62,109 (1997)</w:t>
        <w:tab/>
        <w:t>43</w:t>
      </w:r>
      <w:r/>
      <w:r>
        <w:rPr>
          <w:lang w:val="en-CA"/>
        </w:rPr>
        <w:fldChar w:fldCharType="end"/>
      </w:r>
      <w:r>
        <w:rPr>
          <w:lang w:val="en-CA"/>
        </w:rPr>
      </w:r>
    </w:p>
    <w:sectPr>
      <w:footerReference w:type="default" r:id="rId5"/>
      <w:footerReference w:type="first" r:id="rId6"/>
      <w:footnotePr>
        <w:numFmt w:val="decimal"/>
      </w:footnotePr>
      <w:type w:val="nextPage"/>
      <w:pgSz w:w="12240" w:h="15840"/>
      <w:pgMar w:left="1440" w:right="1440" w:gutter="0" w:header="0" w:top="1440" w:footer="432" w:bottom="1440"/>
      <w:pgNumType w:start="1" w:fmt="lowerRoman"/>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 w:name="Courier New">
    <w:charset w:val="00" w:characterSet="windows-1252"/>
    <w:family w:val="modern"/>
    <w:pitch w:val="default"/>
  </w:font>
  <w:font w:name="Tahoma">
    <w:charset w:val="00" w:characterSet="windows-1252"/>
    <w:family w:val="swiss"/>
    <w:pitch w:val="variable"/>
  </w:font>
  <w:font w:name="WP TypographicSymbol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sz w:val="16"/>
      </w:rPr>
      <w:t>LA-1072095v2 [Word 97]</w:t>
    </w:r>
    <w:r>
      <w:rPr>
        <w:sz w:val="18"/>
      </w:rPr>
      <w:tab/>
    </w: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sz w:val="16"/>
      </w:rPr>
    </w:pPr>
    <w:r>
      <w:rPr>
        <w:sz w:val="16"/>
      </w:rPr>
      <w:t>LA-1072095v2 [Word 97]</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sz w:val="16"/>
      </w:rPr>
      <w:t>LA-1072095v2 [Word 97]</w:t>
    </w:r>
    <w:r>
      <w:rPr>
        <w:sz w:val="18"/>
      </w:rPr>
      <w:tab/>
    </w:r>
    <w:r>
      <w:rPr>
        <w:rStyle w:val="PageNumber"/>
      </w:rPr>
      <w:fldChar w:fldCharType="begin"/>
    </w:r>
    <w:r>
      <w:rPr>
        <w:rStyle w:val="PageNumber"/>
      </w:rPr>
      <w:instrText xml:space="preserve"> PAGE </w:instrText>
    </w:r>
    <w:r>
      <w:rPr>
        <w:rStyle w:val="PageNumber"/>
      </w:rPr>
      <w:fldChar w:fldCharType="separate"/>
    </w:r>
    <w:r>
      <w:rPr>
        <w:rStyle w:val="PageNumber"/>
      </w:rPr>
      <w:t>viii</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sz w:val="16"/>
      </w:rPr>
      <w:t>LA-1072095v2 [Word 97]</w:t>
      <w:tab/>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lineRule="auto" w:line="240" w:before="0" w:after="240"/>
        <w:ind w:hanging="360" w:start="360" w:end="0"/>
        <w:rPr/>
      </w:pPr>
      <w:r>
        <w:rPr>
          <w:rStyle w:val="FootnoteCharacters"/>
        </w:rPr>
        <w:footnoteRef/>
      </w:r>
      <w:r>
        <w:rPr/>
        <w:t xml:space="preserve"> </w:t>
      </w:r>
      <w:r>
        <w:rPr/>
        <w:tab/>
        <w:t>The members of SCGC are Imperial Irrigation District; Reliant Energy Power Generation, Inc.; Southern California Utility Power Pool (Los Angeles Department of Water and Power and the Cities of Burbank, Glendale, and Pasadena, California); and Williams Energy Services.</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rPr>
        <w:sz w:val="24"/>
        <w:i w:val="false"/>
        <w:u w:val="none"/>
        <w:b/>
        <w:rFonts w:ascii="Times New Roman Bold" w:hAnsi="Times New Roman Bold" w:cs="Times New Roman Bold"/>
        <w:color w:val="000000"/>
      </w:rPr>
    </w:lvl>
    <w:lvl w:ilvl="1">
      <w:start w:val="1"/>
      <w:pStyle w:val="Heading2"/>
      <w:numFmt w:val="upperLetter"/>
      <w:lvlText w:val="%2."/>
      <w:lvlJc w:val="start"/>
      <w:pPr>
        <w:tabs>
          <w:tab w:val="num" w:pos="1440"/>
        </w:tabs>
        <w:ind w:start="1440" w:hanging="720"/>
      </w:pPr>
      <w:rPr>
        <w:sz w:val="24"/>
        <w:i w:val="false"/>
        <w:u w:val="none"/>
        <w:b/>
        <w:rFonts w:ascii="Times New Roman Bold" w:hAnsi="Times New Roman Bold" w:cs="Times New Roman Bold"/>
      </w:rPr>
    </w:lvl>
    <w:lvl w:ilvl="2">
      <w:start w:val="1"/>
      <w:pStyle w:val="Heading3"/>
      <w:numFmt w:val="decimal"/>
      <w:lvlText w:val="%3."/>
      <w:lvlJc w:val="start"/>
      <w:pPr>
        <w:tabs>
          <w:tab w:val="num" w:pos="2160"/>
        </w:tabs>
        <w:ind w:start="2160" w:hanging="720"/>
      </w:pPr>
      <w:rPr>
        <w:sz w:val="24"/>
        <w:i w:val="false"/>
        <w:u w:val="none"/>
        <w:b/>
        <w:rFonts w:ascii="Times New Roman Bold" w:hAnsi="Times New Roman Bold" w:cs="Times New Roman Bold"/>
        <w:color w:val="000000"/>
      </w:rPr>
    </w:lvl>
    <w:lvl w:ilvl="3">
      <w:start w:val="1"/>
      <w:pStyle w:val="Heading4"/>
      <w:numFmt w:val="lowerLetter"/>
      <w:lvlText w:val="%4."/>
      <w:lvlJc w:val="start"/>
      <w:pPr>
        <w:tabs>
          <w:tab w:val="num" w:pos="2880"/>
        </w:tabs>
        <w:ind w:start="2880" w:hanging="720"/>
      </w:pPr>
      <w:rPr>
        <w:sz w:val="24"/>
        <w:i w:val="false"/>
        <w:u w:val="none"/>
        <w:b/>
        <w:rFonts w:ascii="Times New Roman Bold" w:hAnsi="Times New Roman Bold" w:cs="Times New Roman Bold"/>
        <w:color w:val="000000"/>
      </w:rPr>
    </w:lvl>
    <w:lvl w:ilvl="4">
      <w:start w:val="1"/>
      <w:numFmt w:val="decimal"/>
      <w:lvlText w:val="(%5)"/>
      <w:lvlJc w:val="start"/>
      <w:pPr>
        <w:tabs>
          <w:tab w:val="num" w:pos="3240"/>
        </w:tabs>
        <w:ind w:start="2880" w:hanging="0"/>
      </w:pPr>
    </w:lvl>
    <w:lvl w:ilvl="5">
      <w:start w:val="1"/>
      <w:numFmt w:val="lowerLetter"/>
      <w:lvlText w:val="(%6)"/>
      <w:lvlJc w:val="start"/>
      <w:pPr>
        <w:tabs>
          <w:tab w:val="num" w:pos="3960"/>
        </w:tabs>
        <w:ind w:start="3600" w:hanging="0"/>
      </w:pPr>
    </w:lvl>
    <w:lvl w:ilvl="6">
      <w:start w:val="1"/>
      <w:numFmt w:val="lowerRoman"/>
      <w:lvlText w:val="(%7)"/>
      <w:lvlJc w:val="start"/>
      <w:pPr>
        <w:tabs>
          <w:tab w:val="num" w:pos="4680"/>
        </w:tabs>
        <w:ind w:start="4320" w:hanging="0"/>
      </w:pPr>
    </w:lvl>
    <w:lvl w:ilvl="7">
      <w:start w:val="1"/>
      <w:numFmt w:val="lowerLetter"/>
      <w:lvlText w:val="(%8)"/>
      <w:lvlJc w:val="start"/>
      <w:pPr>
        <w:tabs>
          <w:tab w:val="num" w:pos="5400"/>
        </w:tabs>
        <w:ind w:start="5040" w:hanging="0"/>
      </w:pPr>
    </w:lvl>
    <w:lvl w:ilvl="8">
      <w:start w:val="1"/>
      <w:numFmt w:val="lowerRoman"/>
      <w:lvlText w:val="(%9)"/>
      <w:lvlJc w:val="start"/>
      <w:pPr>
        <w:tabs>
          <w:tab w:val="num" w:pos="6120"/>
        </w:tabs>
        <w:ind w:start="576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docVars>
    <w:docVar w:name="DocXToolsFileType" w:val="Word97"/>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480" w:before="0" w:after="24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Heading2"/>
    <w:qFormat/>
    <w:pPr>
      <w:keepNext w:val="true"/>
      <w:numPr>
        <w:ilvl w:val="0"/>
        <w:numId w:val="1"/>
      </w:numPr>
      <w:spacing w:lineRule="auto" w:line="240" w:before="0" w:after="480"/>
      <w:outlineLvl w:val="0"/>
    </w:pPr>
    <w:rPr>
      <w:rFonts w:ascii="Times New Roman Bold" w:hAnsi="Times New Roman Bold" w:cs="Times New Roman Bold"/>
      <w:b/>
      <w:u w:val="single"/>
    </w:rPr>
  </w:style>
  <w:style w:type="paragraph" w:styleId="Heading2">
    <w:name w:val="heading 2"/>
    <w:basedOn w:val="Normal"/>
    <w:next w:val="Heading3"/>
    <w:qFormat/>
    <w:pPr>
      <w:keepNext w:val="true"/>
      <w:keepLines/>
      <w:numPr>
        <w:ilvl w:val="1"/>
        <w:numId w:val="1"/>
      </w:numPr>
      <w:spacing w:lineRule="auto" w:line="240" w:before="0" w:after="480"/>
      <w:outlineLvl w:val="1"/>
    </w:pPr>
    <w:rPr>
      <w:rFonts w:ascii="Times New Roman Bold" w:hAnsi="Times New Roman Bold" w:cs="Times New Roman Bold"/>
      <w:b/>
    </w:rPr>
  </w:style>
  <w:style w:type="paragraph" w:styleId="Heading3">
    <w:name w:val="heading 3"/>
    <w:basedOn w:val="ListBullet31"/>
    <w:next w:val="BodyText"/>
    <w:qFormat/>
    <w:pPr>
      <w:keepNext w:val="true"/>
      <w:numPr>
        <w:ilvl w:val="2"/>
        <w:numId w:val="1"/>
      </w:numPr>
      <w:spacing w:lineRule="auto" w:line="240" w:before="0" w:after="480"/>
      <w:outlineLvl w:val="2"/>
    </w:pPr>
    <w:rPr>
      <w:rFonts w:ascii="Times New Roman Bold" w:hAnsi="Times New Roman Bold" w:cs="Times New Roman Bold"/>
      <w:b/>
    </w:rPr>
  </w:style>
  <w:style w:type="paragraph" w:styleId="Heading4">
    <w:name w:val="heading 4"/>
    <w:basedOn w:val="Normal"/>
    <w:next w:val="Heading5"/>
    <w:qFormat/>
    <w:pPr>
      <w:keepNext w:val="true"/>
      <w:numPr>
        <w:ilvl w:val="3"/>
        <w:numId w:val="1"/>
      </w:numPr>
      <w:spacing w:lineRule="auto" w:line="240" w:before="0" w:after="480"/>
      <w:outlineLvl w:val="3"/>
    </w:pPr>
    <w:rPr>
      <w:rFonts w:ascii="Times New Roman Bold" w:hAnsi="Times New Roman Bold" w:cs="Times New Roman Bold"/>
      <w:b/>
    </w:rPr>
  </w:style>
  <w:style w:type="paragraph" w:styleId="Heading5">
    <w:name w:val="heading 5"/>
    <w:basedOn w:val="Normal"/>
    <w:next w:val="Heading6"/>
    <w:qFormat/>
    <w:pPr>
      <w:spacing w:before="0" w:after="240"/>
      <w:outlineLvl w:val="4"/>
    </w:pPr>
    <w:rPr/>
  </w:style>
  <w:style w:type="paragraph" w:styleId="Heading6">
    <w:name w:val="heading 6"/>
    <w:basedOn w:val="Normal"/>
    <w:next w:val="Heading7"/>
    <w:qFormat/>
    <w:pPr>
      <w:spacing w:before="0" w:after="240"/>
      <w:outlineLvl w:val="5"/>
    </w:pPr>
    <w:rPr/>
  </w:style>
  <w:style w:type="paragraph" w:styleId="Heading7">
    <w:name w:val="heading 7"/>
    <w:basedOn w:val="Normal"/>
    <w:next w:val="Heading8"/>
    <w:qFormat/>
    <w:pPr>
      <w:spacing w:before="0" w:after="240"/>
      <w:outlineLvl w:val="6"/>
    </w:pPr>
    <w:rPr/>
  </w:style>
  <w:style w:type="paragraph" w:styleId="Heading8">
    <w:name w:val="heading 8"/>
    <w:basedOn w:val="Normal"/>
    <w:next w:val="Heading9"/>
    <w:qFormat/>
    <w:pPr>
      <w:spacing w:before="0" w:after="240"/>
      <w:outlineLvl w:val="7"/>
    </w:pPr>
    <w:rPr/>
  </w:style>
  <w:style w:type="paragraph" w:styleId="Heading9">
    <w:name w:val="heading 9"/>
    <w:basedOn w:val="Normal"/>
    <w:next w:val="BodyText"/>
    <w:qFormat/>
    <w:pPr>
      <w:spacing w:before="0" w:after="24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Times New Roman Bold" w:hAnsi="Times New Roman Bold" w:cs="Times New Roman Bold"/>
      <w:b/>
      <w:i w:val="false"/>
      <w:color w:val="000000"/>
      <w:sz w:val="24"/>
      <w:u w:val="none"/>
    </w:rPr>
  </w:style>
  <w:style w:type="character" w:styleId="WW8Num12z1">
    <w:name w:val="WW8Num12z1"/>
    <w:qFormat/>
    <w:rPr>
      <w:rFonts w:ascii="Times New Roman Bold" w:hAnsi="Times New Roman Bold" w:cs="Times New Roman Bold"/>
      <w:b/>
      <w:i w:val="false"/>
      <w:sz w:val="24"/>
      <w:u w:val="none"/>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b/>
      <w:i w:val="false"/>
    </w:rPr>
  </w:style>
  <w:style w:type="character" w:styleId="WW8Num16z0">
    <w:name w:val="WW8Num16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z w:val="24"/>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LineNumber">
    <w:name w:val="line number"/>
    <w:basedOn w:val="DefaultParagraphFont"/>
    <w:rPr/>
  </w:style>
  <w:style w:type="character" w:styleId="Strong">
    <w:name w:val="Strong"/>
    <w:basedOn w:val="DefaultParagraphFont"/>
    <w:qFormat/>
    <w:rPr>
      <w:b/>
    </w:rPr>
  </w:style>
  <w:style w:type="character" w:styleId="FootnoteReference">
    <w:name w:val="footnote reference"/>
    <w:rPr>
      <w:vertAlign w:val="superscript"/>
    </w:rPr>
  </w:style>
  <w:style w:type="character" w:styleId="IndexLink">
    <w:name w:val="Index Link"/>
    <w:qFormat/>
    <w:rPr/>
  </w:style>
  <w:style w:type="character" w:styleId="EndnoteReference">
    <w:name w:val="endnote reference"/>
    <w:rPr>
      <w:vertAlign w:val="superscript"/>
    </w:rPr>
  </w:style>
  <w:style w:type="paragraph" w:styleId="Heading">
    <w:name w:val="Heading"/>
    <w:basedOn w:val="Normal"/>
    <w:next w:val="BodyText"/>
    <w:qFormat/>
    <w:pPr>
      <w:keepNext w:val="true"/>
      <w:jc w:val="center"/>
      <w:outlineLvl w:val="0"/>
    </w:pPr>
    <w:rPr>
      <w:rFonts w:ascii="Times New Roman Bold" w:hAnsi="Times New Roman Bold" w:cs="Times New Roman Bold"/>
      <w:b/>
    </w:rPr>
  </w:style>
  <w:style w:type="paragraph" w:styleId="BodyText">
    <w:name w:val="Body Text"/>
    <w:basedOn w:val="Normal"/>
    <w:pPr>
      <w:spacing w:before="0" w:after="0"/>
      <w:ind w:firstLine="720" w:start="0" w:end="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ListBullet31">
    <w:name w:val="List Bullet 31"/>
    <w:basedOn w:val="Normal"/>
    <w:qFormat/>
    <w:pPr>
      <w:numPr>
        <w:ilvl w:val="0"/>
        <w:numId w:val="8"/>
      </w:numPr>
      <w:tabs>
        <w:tab w:val="clear" w:pos="720"/>
      </w:tabs>
    </w:pPr>
    <w:rPr/>
  </w:style>
  <w:style w:type="paragraph" w:styleId="EnvelopeAddress">
    <w:name w:val="envelope address"/>
    <w:basedOn w:val="Normal"/>
    <w:pPr>
      <w:ind w:hanging="0" w:start="2880" w:end="0"/>
    </w:pPr>
    <w:rPr/>
  </w:style>
  <w:style w:type="paragraph" w:styleId="EnvelopeReturn">
    <w:name w:val="envelope return"/>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Index1">
    <w:name w:val="index 1"/>
    <w:basedOn w:val="Normal"/>
    <w:next w:val="Normal"/>
    <w:pPr>
      <w:ind w:hanging="360" w:start="360" w:end="0"/>
    </w:pPr>
    <w:rPr/>
  </w:style>
  <w:style w:type="paragraph" w:styleId="IndexHeading">
    <w:name w:val="index heading"/>
    <w:basedOn w:val="Normal"/>
    <w:next w:val="Index1"/>
    <w:pPr/>
    <w:rPr>
      <w:b/>
    </w:rPr>
  </w:style>
  <w:style w:type="paragraph" w:styleId="PlainText">
    <w:name w:val="Plain Text"/>
    <w:basedOn w:val="Normal"/>
    <w:qFormat/>
    <w:pPr/>
    <w:rPr/>
  </w:style>
  <w:style w:type="paragraph" w:styleId="Subtitle">
    <w:name w:val="Subtitle"/>
    <w:basedOn w:val="Normal"/>
    <w:next w:val="BodyText"/>
    <w:qFormat/>
    <w:pPr>
      <w:spacing w:before="600" w:after="480"/>
      <w:jc w:val="center"/>
      <w:outlineLvl w:val="1"/>
    </w:pPr>
    <w:rPr>
      <w:rFonts w:ascii="Times New Roman Bold" w:hAnsi="Times New Roman Bold" w:cs="Times New Roman Bold"/>
      <w:b/>
    </w:rPr>
  </w:style>
  <w:style w:type="paragraph" w:styleId="Quote">
    <w:name w:val="Quote"/>
    <w:basedOn w:val="Normal"/>
    <w:next w:val="BodyText"/>
    <w:qFormat/>
    <w:pPr>
      <w:spacing w:lineRule="auto" w:line="240"/>
      <w:ind w:hanging="0" w:start="1440" w:end="1440"/>
    </w:pPr>
    <w:rPr/>
  </w:style>
  <w:style w:type="paragraph" w:styleId="BodyText2">
    <w:name w:val="Body Text 2"/>
    <w:basedOn w:val="Normal"/>
    <w:qFormat/>
    <w:pPr>
      <w:spacing w:before="0" w:after="0"/>
    </w:pPr>
    <w:rPr/>
  </w:style>
  <w:style w:type="paragraph" w:styleId="BodyText3">
    <w:name w:val="Body Text 3"/>
    <w:basedOn w:val="Normal"/>
    <w:qFormat/>
    <w:pPr>
      <w:spacing w:lineRule="auto" w:line="360"/>
    </w:pPr>
    <w:rPr/>
  </w:style>
  <w:style w:type="paragraph" w:styleId="BodyTextFirstIndent">
    <w:name w:val="Body Text First Indent"/>
    <w:basedOn w:val="Normal"/>
    <w:qFormat/>
    <w:pPr>
      <w:spacing w:before="0" w:after="0"/>
      <w:ind w:firstLine="1440" w:start="0" w:end="0"/>
    </w:pPr>
    <w:rPr/>
  </w:style>
  <w:style w:type="paragraph" w:styleId="BodyTextFirstIndent2">
    <w:name w:val="Body Text First Indent 2"/>
    <w:basedOn w:val="Normal"/>
    <w:qFormat/>
    <w:pPr>
      <w:spacing w:lineRule="auto" w:line="480"/>
      <w:ind w:firstLine="1440" w:start="0" w:end="0"/>
    </w:pPr>
    <w:rPr/>
  </w:style>
  <w:style w:type="paragraph" w:styleId="BodyTextIndent2">
    <w:name w:val="Body Text Indent 2"/>
    <w:basedOn w:val="Normal"/>
    <w:qFormat/>
    <w:pPr>
      <w:spacing w:lineRule="auto" w:line="480"/>
      <w:ind w:firstLine="720" w:start="1440" w:end="1440"/>
    </w:pPr>
    <w:rPr/>
  </w:style>
  <w:style w:type="paragraph" w:styleId="BodyTextIndent3">
    <w:name w:val="Body Text Indent 3"/>
    <w:basedOn w:val="Normal"/>
    <w:qFormat/>
    <w:pPr>
      <w:spacing w:lineRule="auto" w:line="240"/>
      <w:ind w:hanging="0" w:start="1440" w:end="1440"/>
    </w:pPr>
    <w:rPr/>
  </w:style>
  <w:style w:type="paragraph" w:styleId="Signature">
    <w:name w:val="Signature"/>
    <w:basedOn w:val="Normal"/>
    <w:pPr>
      <w:tabs>
        <w:tab w:val="clear" w:pos="720"/>
        <w:tab w:val="right" w:pos="9360" w:leader="underscore"/>
      </w:tabs>
      <w:spacing w:lineRule="auto" w:line="240" w:before="0" w:after="0"/>
      <w:ind w:hanging="0" w:start="4680" w:end="0"/>
    </w:pPr>
    <w:rPr/>
  </w:style>
  <w:style w:type="paragraph" w:styleId="Salutation">
    <w:name w:val="Salutation"/>
    <w:basedOn w:val="Normal"/>
    <w:next w:val="Normal"/>
    <w:qFormat/>
    <w:pPr/>
    <w:rPr/>
  </w:style>
  <w:style w:type="paragraph" w:styleId="Closing">
    <w:name w:val="Closing"/>
    <w:basedOn w:val="Normal"/>
    <w:qFormat/>
    <w:pPr>
      <w:spacing w:before="0" w:after="240"/>
      <w:ind w:hanging="0" w:start="504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eastAsia="zh-CN" w:bidi="hi-IN"/>
    </w:rPr>
  </w:style>
  <w:style w:type="paragraph" w:styleId="BodyTextFirstIndent3">
    <w:name w:val="Body Text First Indent 3"/>
    <w:basedOn w:val="Normal"/>
    <w:qFormat/>
    <w:pPr>
      <w:spacing w:lineRule="auto" w:line="360"/>
      <w:ind w:firstLine="1440" w:start="0" w:end="0"/>
    </w:pPr>
    <w:rPr/>
  </w:style>
  <w:style w:type="paragraph" w:styleId="DocumentMap">
    <w:name w:val="Document Map"/>
    <w:basedOn w:val="Normal"/>
    <w:qFormat/>
    <w:pPr>
      <w:shd w:fill="000080" w:val="clear"/>
    </w:pPr>
    <w:rPr>
      <w:rFonts w:ascii="Tahoma" w:hAnsi="Tahoma" w:cs="Tahoma"/>
    </w:rPr>
  </w:style>
  <w:style w:type="paragraph" w:styleId="TOC2">
    <w:name w:val="toc 2"/>
    <w:basedOn w:val="Normal"/>
    <w:next w:val="BodyText"/>
    <w:pPr>
      <w:tabs>
        <w:tab w:val="clear" w:pos="720"/>
        <w:tab w:val="right" w:pos="9350" w:leader="dot"/>
      </w:tabs>
      <w:spacing w:lineRule="auto" w:line="240" w:before="120" w:after="0"/>
      <w:ind w:hanging="720" w:start="1440" w:end="0"/>
    </w:pPr>
    <w:rPr>
      <w:smallCaps/>
      <w:sz w:val="20"/>
      <w:lang w:val="en-CA"/>
    </w:rPr>
  </w:style>
  <w:style w:type="paragraph" w:styleId="TOC1">
    <w:name w:val="toc 1"/>
    <w:basedOn w:val="Normal"/>
    <w:next w:val="BodyText"/>
    <w:pPr>
      <w:tabs>
        <w:tab w:val="left" w:pos="720" w:leader="none"/>
        <w:tab w:val="right" w:pos="9350" w:leader="dot"/>
      </w:tabs>
      <w:spacing w:before="120" w:after="120"/>
      <w:ind w:hanging="720" w:start="720" w:end="0"/>
    </w:pPr>
    <w:rPr>
      <w:b/>
      <w:caps/>
      <w:sz w:val="20"/>
      <w:lang w:val="en-CA"/>
    </w:rPr>
  </w:style>
  <w:style w:type="paragraph" w:styleId="TOC3">
    <w:name w:val="toc 3"/>
    <w:basedOn w:val="Normal"/>
    <w:next w:val="Normal"/>
    <w:pPr>
      <w:tabs>
        <w:tab w:val="clear" w:pos="720"/>
        <w:tab w:val="right" w:pos="9350" w:leader="dot"/>
      </w:tabs>
      <w:spacing w:lineRule="auto" w:line="240" w:before="120" w:after="0"/>
      <w:ind w:hanging="720" w:start="2160" w:end="0"/>
    </w:pPr>
    <w:rPr>
      <w:i/>
      <w:color w:val="000000"/>
      <w:sz w:val="20"/>
      <w:lang w:val="en-CA"/>
    </w:rPr>
  </w:style>
  <w:style w:type="paragraph" w:styleId="TOC4">
    <w:name w:val="toc 4"/>
    <w:basedOn w:val="Normal"/>
    <w:next w:val="Normal"/>
    <w:pPr>
      <w:spacing w:before="0" w:after="0"/>
      <w:ind w:hanging="0" w:start="720" w:end="0"/>
    </w:pPr>
    <w:rPr>
      <w:sz w:val="18"/>
    </w:rPr>
  </w:style>
  <w:style w:type="paragraph" w:styleId="TOC5">
    <w:name w:val="toc 5"/>
    <w:basedOn w:val="Normal"/>
    <w:next w:val="Normal"/>
    <w:pPr>
      <w:spacing w:before="0" w:after="0"/>
      <w:ind w:hanging="0" w:start="960" w:end="0"/>
    </w:pPr>
    <w:rPr>
      <w:sz w:val="18"/>
    </w:rPr>
  </w:style>
  <w:style w:type="paragraph" w:styleId="BlockText">
    <w:name w:val="Block Text"/>
    <w:basedOn w:val="Normal"/>
    <w:qFormat/>
    <w:pPr>
      <w:spacing w:lineRule="auto" w:line="240"/>
      <w:ind w:hanging="0" w:start="1440" w:end="1440"/>
    </w:pPr>
    <w:rPr/>
  </w:style>
  <w:style w:type="paragraph" w:styleId="FootnoteText">
    <w:name w:val="footnote text"/>
    <w:basedOn w:val="Normal"/>
    <w:pPr>
      <w:tabs>
        <w:tab w:val="clear" w:pos="720"/>
        <w:tab w:val="left" w:pos="360" w:leader="none"/>
      </w:tabs>
      <w:spacing w:lineRule="auto" w:line="240"/>
      <w:ind w:hanging="360" w:start="360" w:end="0"/>
    </w:pPr>
    <w:rPr>
      <w:sz w:val="20"/>
    </w:rPr>
  </w:style>
  <w:style w:type="paragraph" w:styleId="CommentText">
    <w:name w:val="Comment Text"/>
    <w:basedOn w:val="Normal"/>
    <w:qFormat/>
    <w:pPr/>
    <w:rPr>
      <w:sz w:val="20"/>
    </w:rPr>
  </w:style>
  <w:style w:type="paragraph" w:styleId="ListBullet21">
    <w:name w:val="List Bullet 21"/>
    <w:basedOn w:val="Normal"/>
    <w:qFormat/>
    <w:pPr>
      <w:numPr>
        <w:ilvl w:val="0"/>
        <w:numId w:val="9"/>
      </w:numPr>
      <w:tabs>
        <w:tab w:val="clear" w:pos="720"/>
      </w:tabs>
      <w:spacing w:before="0" w:after="0"/>
    </w:pPr>
    <w:rPr/>
  </w:style>
  <w:style w:type="paragraph" w:styleId="SingleIndent">
    <w:name w:val="Single Indent"/>
    <w:basedOn w:val="BodyText"/>
    <w:qFormat/>
    <w:pPr>
      <w:spacing w:lineRule="auto" w:line="240" w:before="0" w:after="240"/>
      <w:ind w:hanging="0" w:start="1440" w:end="720"/>
    </w:pPr>
    <w:rPr/>
  </w:style>
  <w:style w:type="paragraph" w:styleId="Heading21">
    <w:name w:val="Heading 2]"/>
    <w:basedOn w:val="SingleIndent"/>
    <w:qFormat/>
    <w:pPr/>
    <w:rPr/>
  </w:style>
  <w:style w:type="paragraph" w:styleId="BodyTextIndent">
    <w:name w:val="Body Text Indent"/>
    <w:basedOn w:val="Normal"/>
    <w:pPr>
      <w:spacing w:before="0" w:after="120"/>
      <w:ind w:hanging="0" w:start="360" w:end="0"/>
    </w:pPr>
    <w:rPr/>
  </w:style>
  <w:style w:type="paragraph" w:styleId="Date">
    <w:name w:val="Date"/>
    <w:basedOn w:val="Normal"/>
    <w:next w:val="Normal"/>
    <w:qFormat/>
    <w:pPr/>
    <w:rPr/>
  </w:style>
  <w:style w:type="paragraph" w:styleId="EndnoteText">
    <w:name w:val="endnote text"/>
    <w:basedOn w:val="Normal"/>
    <w:pPr/>
    <w:rPr>
      <w:sz w:val="20"/>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240"/>
    </w:pPr>
    <w:rPr>
      <w:rFonts w:ascii="Arial" w:hAnsi="Arial" w:cs="Arial"/>
      <w:b/>
    </w:rPr>
  </w:style>
  <w:style w:type="paragraph" w:styleId="TOC6">
    <w:name w:val="toc 6"/>
    <w:basedOn w:val="Normal"/>
    <w:next w:val="Normal"/>
    <w:pPr>
      <w:spacing w:before="0" w:after="0"/>
      <w:ind w:hanging="0" w:start="1200" w:end="0"/>
    </w:pPr>
    <w:rPr>
      <w:sz w:val="18"/>
    </w:rPr>
  </w:style>
  <w:style w:type="paragraph" w:styleId="TOC7">
    <w:name w:val="toc 7"/>
    <w:basedOn w:val="Normal"/>
    <w:next w:val="Normal"/>
    <w:pPr>
      <w:spacing w:before="0" w:after="0"/>
      <w:ind w:hanging="0" w:start="1440" w:end="0"/>
    </w:pPr>
    <w:rPr>
      <w:sz w:val="18"/>
    </w:rPr>
  </w:style>
  <w:style w:type="paragraph" w:styleId="TOC8">
    <w:name w:val="toc 8"/>
    <w:basedOn w:val="Normal"/>
    <w:next w:val="Normal"/>
    <w:pPr>
      <w:spacing w:before="0" w:after="0"/>
      <w:ind w:hanging="0" w:start="1680" w:end="0"/>
    </w:pPr>
    <w:rPr>
      <w:sz w:val="18"/>
    </w:rPr>
  </w:style>
  <w:style w:type="paragraph" w:styleId="TOC9">
    <w:name w:val="toc 9"/>
    <w:basedOn w:val="Normal"/>
    <w:next w:val="Normal"/>
    <w:pPr>
      <w:spacing w:before="0" w:after="0"/>
      <w:ind w:hanging="0" w:start="1920" w:end="0"/>
    </w:pPr>
    <w:rPr>
      <w:sz w:val="18"/>
    </w:rPr>
  </w:style>
  <w:style w:type="paragraph" w:styleId="BodyTextNoIndent">
    <w:name w:val="Body Text No Indent"/>
    <w:basedOn w:val="BodyText"/>
    <w:qFormat/>
    <w:pPr>
      <w:ind w:hanging="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napedersent@jonesday.com"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21286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2000-07-09T04:21:00Z</dcterms:created>
  <dc:creator>Robin Beaman</dc:creator>
  <dc:description/>
  <dc:language>en-CA</dc:language>
  <cp:lastModifiedBy>Registered User</cp:lastModifiedBy>
  <cp:lastPrinted>2000-07-10T20:27:00Z</cp:lastPrinted>
  <dcterms:modified xsi:type="dcterms:W3CDTF">2000-07-11T01:03:00Z</dcterms:modified>
  <cp:revision>196</cp:revision>
  <dc:subject/>
  <dc:title>  </dc:title>
</cp:coreProperties>
</file>