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left" w:pos="1200" w:leader="none"/>
              <w:tab w:val="right" w:pos="8630" w:leader="dot"/>
            </w:tabs>
            <w:spacing w:before="120" w:after="120"/>
            <w:rPr>
              <w:b w:val="false"/>
              <w:caps w:val="false"/>
              <w:smallCaps w:val="false"/>
              <w:lang w:val="en-CA"/>
            </w:rPr>
          </w:pPr>
          <w:r>
            <w:fldChar w:fldCharType="begin"/>
          </w:r>
          <w:r>
            <w:rPr>
              <w:u w:val="none"/>
              <w:lang w:val="en-CA"/>
            </w:rPr>
            <w:instrText xml:space="preserve"> TOC \o "1-4" \h \z </w:instrText>
          </w:r>
          <w:r>
            <w:rPr>
              <w:u w:val="none"/>
              <w:lang w:val="en-CA"/>
            </w:rPr>
            <w:fldChar w:fldCharType="separate"/>
          </w:r>
          <w:r>
            <w:rPr>
              <w:u w:val="none"/>
              <w:lang w:val="en-CA"/>
            </w:rPr>
            <w:t>1.</w:t>
          </w:r>
          <w:r>
            <w:rPr>
              <w:b w:val="false"/>
              <w:caps w:val="false"/>
              <w:smallCaps w:val="false"/>
              <w:lang w:val="en-CA"/>
            </w:rPr>
            <w:tab/>
          </w:r>
          <w:r>
            <w:rPr>
              <w:u w:val="none"/>
              <w:lang w:val="en-CA"/>
            </w:rPr>
            <w:t>Introduction and Summary  (Florio)</w:t>
          </w:r>
          <w:r>
            <w:rPr>
              <w:lang w:val="en-CA"/>
            </w:rPr>
            <w:tab/>
          </w:r>
          <w:hyperlink w:anchor="__RefHeading___Toc483408686">
            <w:r>
              <w:rPr>
                <w:rStyle w:val="IndexLink"/>
                <w:lang w:val="en-CA"/>
              </w:rPr>
              <w:t>1</w:t>
            </w:r>
          </w:hyperlink>
        </w:p>
        <w:p>
          <w:pPr>
            <w:pStyle w:val="TOC2"/>
            <w:tabs>
              <w:tab w:val="clear" w:pos="720"/>
              <w:tab w:val="left" w:pos="1680" w:leader="none"/>
              <w:tab w:val="right" w:pos="8630" w:leader="dot"/>
            </w:tabs>
            <w:rPr>
              <w:caps w:val="false"/>
              <w:smallCaps w:val="false"/>
              <w:lang w:val="en-CA"/>
            </w:rPr>
          </w:pPr>
          <w:r>
            <w:rPr>
              <w:u w:val="none"/>
              <w:lang w:val="en-CA"/>
            </w:rPr>
            <w:t>1.1.</w:t>
          </w:r>
          <w:r>
            <w:rPr>
              <w:caps w:val="false"/>
              <w:smallCaps w:val="false"/>
              <w:lang w:val="en-CA"/>
            </w:rPr>
            <w:tab/>
          </w:r>
          <w:r>
            <w:rPr>
              <w:u w:val="none"/>
              <w:lang w:val="en-CA"/>
            </w:rPr>
            <w:t>Overview of the Testimony.</w:t>
          </w:r>
          <w:r>
            <w:rPr>
              <w:lang w:val="en-CA"/>
            </w:rPr>
            <w:tab/>
          </w:r>
          <w:hyperlink w:anchor="__RefHeading___Toc483408687">
            <w:r>
              <w:rPr>
                <w:rStyle w:val="IndexLink"/>
                <w:lang w:val="en-CA"/>
              </w:rPr>
              <w:t>1</w:t>
            </w:r>
          </w:hyperlink>
        </w:p>
        <w:p>
          <w:pPr>
            <w:pStyle w:val="TOC2"/>
            <w:tabs>
              <w:tab w:val="clear" w:pos="720"/>
              <w:tab w:val="left" w:pos="1680" w:leader="none"/>
              <w:tab w:val="right" w:pos="8630" w:leader="dot"/>
            </w:tabs>
            <w:ind w:hanging="750" w:start="1710" w:end="0"/>
            <w:rPr>
              <w:caps w:val="false"/>
              <w:smallCaps w:val="false"/>
              <w:lang w:val="en-CA"/>
            </w:rPr>
          </w:pPr>
          <w:r>
            <w:rPr>
              <w:u w:val="none"/>
              <w:lang w:val="en-CA"/>
            </w:rPr>
            <w:t>1.2.</w:t>
          </w:r>
          <w:r>
            <w:rPr>
              <w:caps w:val="false"/>
              <w:smallCaps w:val="false"/>
              <w:lang w:val="en-CA"/>
            </w:rPr>
            <w:tab/>
          </w:r>
          <w:r>
            <w:rPr>
              <w:u w:val="none"/>
              <w:lang w:val="en-CA"/>
            </w:rPr>
            <w:t>Vision for Structuring and Regulating the Utility:  Two World Views</w:t>
          </w:r>
          <w:r>
            <w:rPr>
              <w:lang w:val="en-CA"/>
            </w:rPr>
            <w:tab/>
          </w:r>
          <w:hyperlink w:anchor="__RefHeading___Toc483408688">
            <w:r>
              <w:rPr>
                <w:rStyle w:val="IndexLink"/>
                <w:lang w:val="en-CA"/>
              </w:rPr>
              <w:t>1</w:t>
            </w:r>
          </w:hyperlink>
        </w:p>
        <w:p>
          <w:pPr>
            <w:pStyle w:val="TOC2"/>
            <w:tabs>
              <w:tab w:val="clear" w:pos="720"/>
              <w:tab w:val="left" w:pos="1680" w:leader="none"/>
              <w:tab w:val="right" w:pos="8630" w:leader="dot"/>
            </w:tabs>
            <w:ind w:hanging="750" w:start="1710" w:end="0"/>
            <w:rPr>
              <w:caps w:val="false"/>
              <w:smallCaps w:val="false"/>
              <w:lang w:val="en-CA"/>
            </w:rPr>
          </w:pPr>
          <w:r>
            <w:rPr>
              <w:u w:val="none"/>
              <w:lang w:val="en-CA"/>
            </w:rPr>
            <w:t>1.3.</w:t>
          </w:r>
          <w:r>
            <w:rPr>
              <w:caps w:val="false"/>
              <w:smallCaps w:val="false"/>
              <w:lang w:val="en-CA"/>
            </w:rPr>
            <w:tab/>
          </w:r>
          <w:r>
            <w:rPr>
              <w:u w:val="none"/>
              <w:lang w:val="en-CA"/>
            </w:rPr>
            <w:t>The Customer Benefits of the IS/PI Exceed Those of the CSA, While Creating Far Less Risk.</w:t>
          </w:r>
          <w:r>
            <w:rPr>
              <w:lang w:val="en-CA"/>
            </w:rPr>
            <w:tab/>
          </w:r>
          <w:hyperlink w:anchor="__RefHeading___Toc483408689">
            <w:r>
              <w:rPr>
                <w:rStyle w:val="IndexLink"/>
                <w:lang w:val="en-CA"/>
              </w:rPr>
              <w:t>2</w:t>
            </w:r>
          </w:hyperlink>
        </w:p>
        <w:p>
          <w:pPr>
            <w:pStyle w:val="TOC2"/>
            <w:tabs>
              <w:tab w:val="clear" w:pos="720"/>
              <w:tab w:val="left" w:pos="1680" w:leader="none"/>
              <w:tab w:val="right" w:pos="8630" w:leader="dot"/>
            </w:tabs>
            <w:ind w:hanging="750" w:start="1710" w:end="0"/>
            <w:rPr>
              <w:caps w:val="false"/>
              <w:smallCaps w:val="false"/>
              <w:lang w:val="en-CA"/>
            </w:rPr>
          </w:pPr>
          <w:r>
            <w:rPr>
              <w:u w:val="none"/>
              <w:lang w:val="en-CA"/>
            </w:rPr>
            <w:t>1.4.</w:t>
          </w:r>
          <w:r>
            <w:rPr>
              <w:caps w:val="false"/>
              <w:smallCaps w:val="false"/>
              <w:lang w:val="en-CA"/>
            </w:rPr>
            <w:tab/>
          </w:r>
          <w:r>
            <w:rPr>
              <w:u w:val="none"/>
              <w:lang w:val="en-CA"/>
            </w:rPr>
            <w:t>The IS/PI Adopts the “Promising Options” That Will Truly Benefit Customers, But Avoids Those That Would Not.</w:t>
          </w:r>
          <w:r>
            <w:rPr>
              <w:lang w:val="en-CA"/>
            </w:rPr>
            <w:tab/>
          </w:r>
          <w:hyperlink w:anchor="__RefHeading___Toc483408690">
            <w:r>
              <w:rPr>
                <w:rStyle w:val="IndexLink"/>
                <w:lang w:val="en-CA"/>
              </w:rPr>
              <w:t>5</w:t>
            </w:r>
          </w:hyperlink>
        </w:p>
        <w:p>
          <w:pPr>
            <w:pStyle w:val="TOC2"/>
            <w:tabs>
              <w:tab w:val="clear" w:pos="720"/>
              <w:tab w:val="left" w:pos="1680" w:leader="none"/>
              <w:tab w:val="right" w:pos="8630" w:leader="dot"/>
            </w:tabs>
            <w:rPr>
              <w:caps w:val="false"/>
              <w:smallCaps w:val="false"/>
              <w:lang w:val="en-CA"/>
            </w:rPr>
          </w:pPr>
          <w:r>
            <w:rPr>
              <w:u w:val="none"/>
              <w:lang w:val="en-CA"/>
            </w:rPr>
            <w:t>1.5.</w:t>
          </w:r>
          <w:r>
            <w:rPr>
              <w:caps w:val="false"/>
              <w:smallCaps w:val="false"/>
              <w:lang w:val="en-CA"/>
            </w:rPr>
            <w:tab/>
          </w:r>
          <w:r>
            <w:rPr>
              <w:u w:val="none"/>
              <w:lang w:val="en-CA"/>
            </w:rPr>
            <w:t>Certain Provisions of the CSA Conflict with the IS.</w:t>
          </w:r>
          <w:r>
            <w:rPr>
              <w:lang w:val="en-CA"/>
            </w:rPr>
            <w:tab/>
          </w:r>
          <w:hyperlink w:anchor="__RefHeading___Toc483408691">
            <w:r>
              <w:rPr>
                <w:rStyle w:val="IndexLink"/>
                <w:lang w:val="en-CA"/>
              </w:rPr>
              <w:t>10</w:t>
            </w:r>
          </w:hyperlink>
        </w:p>
        <w:p>
          <w:pPr>
            <w:pStyle w:val="TOC2"/>
            <w:tabs>
              <w:tab w:val="clear" w:pos="720"/>
              <w:tab w:val="left" w:pos="1680" w:leader="none"/>
              <w:tab w:val="right" w:pos="8630" w:leader="dot"/>
            </w:tabs>
            <w:rPr>
              <w:caps w:val="false"/>
              <w:smallCaps w:val="false"/>
              <w:lang w:val="en-CA"/>
            </w:rPr>
          </w:pPr>
          <w:r>
            <w:rPr>
              <w:u w:val="none"/>
              <w:lang w:val="en-CA"/>
            </w:rPr>
            <w:t>1.6.</w:t>
          </w:r>
          <w:r>
            <w:rPr>
              <w:caps w:val="false"/>
              <w:smallCaps w:val="false"/>
              <w:lang w:val="en-CA"/>
            </w:rPr>
            <w:tab/>
          </w:r>
          <w:r>
            <w:rPr>
              <w:u w:val="none"/>
              <w:lang w:val="en-CA"/>
            </w:rPr>
            <w:t>A Summary of the Objectionable Features of the CSA</w:t>
          </w:r>
          <w:r>
            <w:rPr>
              <w:lang w:val="en-CA"/>
            </w:rPr>
            <w:tab/>
          </w:r>
          <w:hyperlink w:anchor="__RefHeading___Toc483408692">
            <w:r>
              <w:rPr>
                <w:rStyle w:val="IndexLink"/>
                <w:lang w:val="en-CA"/>
              </w:rPr>
              <w:t>12</w:t>
            </w:r>
          </w:hyperlink>
        </w:p>
        <w:p>
          <w:pPr>
            <w:pStyle w:val="TOC1"/>
            <w:tabs>
              <w:tab w:val="clear" w:pos="720"/>
              <w:tab w:val="left" w:pos="1200" w:leader="none"/>
              <w:tab w:val="right" w:pos="8630" w:leader="dot"/>
            </w:tabs>
            <w:rPr>
              <w:b w:val="false"/>
              <w:caps w:val="false"/>
              <w:smallCaps w:val="false"/>
              <w:lang w:val="en-CA"/>
            </w:rPr>
          </w:pPr>
          <w:r>
            <w:rPr>
              <w:u w:val="none"/>
              <w:lang w:val="en-CA"/>
            </w:rPr>
            <w:t>2.</w:t>
          </w:r>
          <w:r>
            <w:rPr>
              <w:b w:val="false"/>
              <w:caps w:val="false"/>
              <w:smallCaps w:val="false"/>
              <w:lang w:val="en-CA"/>
            </w:rPr>
            <w:tab/>
          </w:r>
          <w:r>
            <w:rPr>
              <w:u w:val="none"/>
              <w:lang w:val="en-CA"/>
            </w:rPr>
            <w:t>Transmission (Yap)</w:t>
          </w:r>
          <w:r>
            <w:rPr>
              <w:lang w:val="en-CA"/>
            </w:rPr>
            <w:tab/>
          </w:r>
          <w:hyperlink w:anchor="__RefHeading___Toc483408693">
            <w:r>
              <w:rPr>
                <w:rStyle w:val="IndexLink"/>
                <w:lang w:val="en-CA"/>
              </w:rPr>
              <w:t>13</w:t>
            </w:r>
          </w:hyperlink>
        </w:p>
        <w:p>
          <w:pPr>
            <w:pStyle w:val="TOC2"/>
            <w:tabs>
              <w:tab w:val="clear" w:pos="720"/>
              <w:tab w:val="left" w:pos="1680" w:leader="none"/>
              <w:tab w:val="right" w:pos="8630" w:leader="dot"/>
            </w:tabs>
            <w:ind w:hanging="750" w:start="1710" w:end="0"/>
            <w:rPr>
              <w:caps w:val="false"/>
              <w:smallCaps w:val="false"/>
              <w:lang w:val="en-CA"/>
            </w:rPr>
          </w:pPr>
          <w:r>
            <w:rPr>
              <w:u w:val="none"/>
              <w:lang w:val="en-CA"/>
            </w:rPr>
            <w:t>2.1.</w:t>
          </w:r>
          <w:r>
            <w:rPr>
              <w:caps w:val="false"/>
              <w:smallCaps w:val="false"/>
              <w:lang w:val="en-CA"/>
            </w:rPr>
            <w:tab/>
          </w:r>
          <w:r>
            <w:rPr>
              <w:u w:val="none"/>
              <w:lang w:val="en-CA"/>
            </w:rPr>
            <w:t>The CSA Improperly Designates Much of the Transmission System as “Backbone,” Then Fails to Achieve Statewide Consistency Despite Its Claims.  (Yap)</w:t>
          </w:r>
          <w:r>
            <w:rPr>
              <w:lang w:val="en-CA"/>
            </w:rPr>
            <w:tab/>
          </w:r>
          <w:hyperlink w:anchor="__RefHeading___Toc483408694">
            <w:r>
              <w:rPr>
                <w:rStyle w:val="IndexLink"/>
                <w:lang w:val="en-CA"/>
              </w:rPr>
              <w:t>13</w:t>
            </w:r>
          </w:hyperlink>
        </w:p>
        <w:p>
          <w:pPr>
            <w:pStyle w:val="TOC3"/>
            <w:ind w:hanging="780" w:start="1980" w:end="0"/>
            <w:rPr>
              <w:i w:val="false"/>
              <w:i w:val="false"/>
            </w:rPr>
          </w:pPr>
          <w:r>
            <w:rPr>
              <w:i/>
              <w:u w:val="none"/>
            </w:rPr>
            <w:t>2.1.1.</w:t>
          </w:r>
          <w:r>
            <w:rPr>
              <w:i w:val="false"/>
            </w:rPr>
            <w:tab/>
          </w:r>
          <w:r>
            <w:rPr>
              <w:i/>
              <w:u w:val="none"/>
            </w:rPr>
            <w:t>The CSA Improperly Classifies Local Transmission Facilities as “Backbone” Transmission Facilities.</w:t>
          </w:r>
          <w:r>
            <w:rPr>
              <w:i w:val="false"/>
            </w:rPr>
            <w:tab/>
          </w:r>
          <w:hyperlink w:anchor="__RefHeading___Toc483408695">
            <w:r>
              <w:rPr>
                <w:rStyle w:val="IndexLink"/>
                <w:i w:val="false"/>
              </w:rPr>
              <w:t>14</w:t>
            </w:r>
          </w:hyperlink>
        </w:p>
        <w:p>
          <w:pPr>
            <w:pStyle w:val="TOC3"/>
            <w:ind w:hanging="780" w:start="1980" w:end="0"/>
            <w:rPr>
              <w:i w:val="false"/>
              <w:i w:val="false"/>
            </w:rPr>
          </w:pPr>
          <w:r>
            <w:rPr>
              <w:i/>
              <w:u w:val="none"/>
            </w:rPr>
            <w:t>2.1.2.</w:t>
          </w:r>
          <w:r>
            <w:rPr>
              <w:i w:val="false"/>
            </w:rPr>
            <w:tab/>
          </w:r>
          <w:r>
            <w:rPr>
              <w:i/>
              <w:u w:val="none"/>
            </w:rPr>
            <w:t>Capacity Rights in Northern California Are Path Specific, Which Is Significantly Different than the CSA’s Proposed Receipt Point Rights.</w:t>
          </w:r>
          <w:r>
            <w:rPr>
              <w:i w:val="false"/>
            </w:rPr>
            <w:tab/>
          </w:r>
          <w:hyperlink w:anchor="__RefHeading___Toc483408696">
            <w:r>
              <w:rPr>
                <w:rStyle w:val="IndexLink"/>
                <w:i w:val="false"/>
              </w:rPr>
              <w:t>14</w:t>
            </w:r>
          </w:hyperlink>
        </w:p>
        <w:p>
          <w:pPr>
            <w:pStyle w:val="TOC2"/>
            <w:tabs>
              <w:tab w:val="clear" w:pos="720"/>
              <w:tab w:val="left" w:pos="1680" w:leader="none"/>
              <w:tab w:val="right" w:pos="8630" w:leader="dot"/>
            </w:tabs>
            <w:ind w:hanging="750" w:start="1710" w:end="0"/>
            <w:rPr>
              <w:caps w:val="false"/>
              <w:smallCaps w:val="false"/>
              <w:lang w:val="en-CA"/>
            </w:rPr>
          </w:pPr>
          <w:r>
            <w:rPr>
              <w:u w:val="none"/>
              <w:lang w:val="en-CA"/>
            </w:rPr>
            <w:t>2.2.</w:t>
          </w:r>
          <w:r>
            <w:rPr>
              <w:caps w:val="false"/>
              <w:smallCaps w:val="false"/>
              <w:lang w:val="en-CA"/>
            </w:rPr>
            <w:tab/>
          </w:r>
          <w:r>
            <w:rPr>
              <w:u w:val="none"/>
              <w:lang w:val="en-CA"/>
            </w:rPr>
            <w:t>Unbundling Creates Unnecessary Transaction Costs and Burdens for Customers.  (Weil)</w:t>
          </w:r>
          <w:r>
            <w:rPr>
              <w:lang w:val="en-CA"/>
            </w:rPr>
            <w:tab/>
          </w:r>
          <w:hyperlink w:anchor="__RefHeading___Toc483408697">
            <w:r>
              <w:rPr>
                <w:rStyle w:val="IndexLink"/>
                <w:lang w:val="en-CA"/>
              </w:rPr>
              <w:t>15</w:t>
            </w:r>
          </w:hyperlink>
        </w:p>
        <w:p>
          <w:pPr>
            <w:pStyle w:val="TOC3"/>
            <w:rPr>
              <w:i w:val="false"/>
              <w:i w:val="false"/>
            </w:rPr>
          </w:pPr>
          <w:r>
            <w:rPr>
              <w:i/>
              <w:u w:val="none"/>
            </w:rPr>
            <w:t>2.2.1.</w:t>
          </w:r>
          <w:r>
            <w:rPr>
              <w:i w:val="false"/>
            </w:rPr>
            <w:tab/>
          </w:r>
          <w:r>
            <w:rPr>
              <w:i/>
              <w:u w:val="none"/>
            </w:rPr>
            <w:t>Opportunities for Marketers</w:t>
          </w:r>
          <w:r>
            <w:rPr>
              <w:i w:val="false"/>
            </w:rPr>
            <w:tab/>
          </w:r>
          <w:hyperlink w:anchor="__RefHeading___Toc483408698">
            <w:r>
              <w:rPr>
                <w:rStyle w:val="IndexLink"/>
                <w:i w:val="false"/>
              </w:rPr>
              <w:t>15</w:t>
            </w:r>
          </w:hyperlink>
        </w:p>
        <w:p>
          <w:pPr>
            <w:pStyle w:val="TOC3"/>
            <w:rPr>
              <w:i w:val="false"/>
              <w:i w:val="false"/>
            </w:rPr>
          </w:pPr>
          <w:r>
            <w:rPr>
              <w:i/>
              <w:u w:val="none"/>
            </w:rPr>
            <w:t>2.2.2.</w:t>
          </w:r>
          <w:r>
            <w:rPr>
              <w:i w:val="false"/>
            </w:rPr>
            <w:tab/>
          </w:r>
          <w:r>
            <w:rPr>
              <w:i/>
              <w:u w:val="none"/>
            </w:rPr>
            <w:t>Alternatives to “Backbone” Service</w:t>
          </w:r>
          <w:r>
            <w:rPr>
              <w:i w:val="false"/>
            </w:rPr>
            <w:tab/>
          </w:r>
          <w:hyperlink w:anchor="__RefHeading___Toc483408699">
            <w:r>
              <w:rPr>
                <w:rStyle w:val="IndexLink"/>
                <w:i w:val="false"/>
              </w:rPr>
              <w:t>16</w:t>
            </w:r>
          </w:hyperlink>
        </w:p>
        <w:p>
          <w:pPr>
            <w:pStyle w:val="TOC3"/>
            <w:rPr>
              <w:i w:val="false"/>
              <w:i w:val="false"/>
            </w:rPr>
          </w:pPr>
          <w:r>
            <w:rPr>
              <w:i/>
              <w:u w:val="none"/>
            </w:rPr>
            <w:t>2.2.3.</w:t>
          </w:r>
          <w:r>
            <w:rPr>
              <w:i w:val="false"/>
            </w:rPr>
            <w:tab/>
          </w:r>
          <w:r>
            <w:rPr>
              <w:i/>
              <w:u w:val="none"/>
            </w:rPr>
            <w:t>Potential Market Power</w:t>
          </w:r>
          <w:r>
            <w:rPr>
              <w:i w:val="false"/>
            </w:rPr>
            <w:tab/>
          </w:r>
          <w:hyperlink w:anchor="__RefHeading___Toc483408700">
            <w:r>
              <w:rPr>
                <w:rStyle w:val="IndexLink"/>
                <w:i w:val="false"/>
              </w:rPr>
              <w:t>17</w:t>
            </w:r>
          </w:hyperlink>
        </w:p>
        <w:p>
          <w:pPr>
            <w:pStyle w:val="TOC2"/>
            <w:tabs>
              <w:tab w:val="clear" w:pos="720"/>
              <w:tab w:val="left" w:pos="1680" w:leader="none"/>
              <w:tab w:val="right" w:pos="8630" w:leader="dot"/>
            </w:tabs>
            <w:ind w:hanging="750" w:start="1710" w:end="0"/>
            <w:rPr>
              <w:caps w:val="false"/>
              <w:smallCaps w:val="false"/>
              <w:lang w:val="en-CA"/>
            </w:rPr>
          </w:pPr>
          <w:r>
            <w:rPr>
              <w:u w:val="none"/>
              <w:lang w:val="en-CA"/>
            </w:rPr>
            <w:t>2.3.</w:t>
          </w:r>
          <w:r>
            <w:rPr>
              <w:caps w:val="false"/>
              <w:smallCaps w:val="false"/>
              <w:lang w:val="en-CA"/>
            </w:rPr>
            <w:tab/>
          </w:r>
          <w:r>
            <w:rPr>
              <w:u w:val="none"/>
              <w:lang w:val="en-CA"/>
            </w:rPr>
            <w:t>Unbundling May Transfer Large Quantities of Receipt Point Capacity to Marketers.  (Yap)</w:t>
          </w:r>
          <w:r>
            <w:rPr>
              <w:lang w:val="en-CA"/>
            </w:rPr>
            <w:tab/>
          </w:r>
          <w:hyperlink w:anchor="__RefHeading___Toc483408701">
            <w:r>
              <w:rPr>
                <w:rStyle w:val="IndexLink"/>
                <w:lang w:val="en-CA"/>
              </w:rPr>
              <w:t>17</w:t>
            </w:r>
          </w:hyperlink>
        </w:p>
        <w:p>
          <w:pPr>
            <w:pStyle w:val="TOC2"/>
            <w:tabs>
              <w:tab w:val="clear" w:pos="720"/>
              <w:tab w:val="left" w:pos="1680" w:leader="none"/>
              <w:tab w:val="right" w:pos="8630" w:leader="dot"/>
            </w:tabs>
            <w:ind w:hanging="750" w:start="1710" w:end="0"/>
            <w:rPr>
              <w:caps w:val="false"/>
              <w:smallCaps w:val="false"/>
              <w:lang w:val="en-CA"/>
            </w:rPr>
          </w:pPr>
          <w:r>
            <w:rPr>
              <w:u w:val="none"/>
              <w:lang w:val="en-CA"/>
            </w:rPr>
            <w:t>2.4.</w:t>
          </w:r>
          <w:r>
            <w:rPr>
              <w:caps w:val="false"/>
              <w:smallCaps w:val="false"/>
              <w:lang w:val="en-CA"/>
            </w:rPr>
            <w:tab/>
          </w:r>
          <w:r>
            <w:rPr>
              <w:u w:val="none"/>
              <w:lang w:val="en-CA"/>
            </w:rPr>
            <w:t>Demand Charges Shift Risk from Shareholders to Customers.  (Yap)</w:t>
          </w:r>
          <w:r>
            <w:rPr>
              <w:lang w:val="en-CA"/>
            </w:rPr>
            <w:tab/>
          </w:r>
          <w:hyperlink w:anchor="__RefHeading___Toc483408702">
            <w:r>
              <w:rPr>
                <w:rStyle w:val="IndexLink"/>
                <w:lang w:val="en-CA"/>
              </w:rPr>
              <w:t>18</w:t>
            </w:r>
          </w:hyperlink>
        </w:p>
        <w:p>
          <w:pPr>
            <w:pStyle w:val="TOC3"/>
            <w:ind w:hanging="780" w:start="1980" w:end="0"/>
            <w:rPr>
              <w:i w:val="false"/>
              <w:i w:val="false"/>
            </w:rPr>
          </w:pPr>
          <w:r>
            <w:rPr>
              <w:i/>
              <w:u w:val="none"/>
            </w:rPr>
            <w:t>2.4.1.</w:t>
          </w:r>
          <w:r>
            <w:rPr>
              <w:i w:val="false"/>
            </w:rPr>
            <w:tab/>
          </w:r>
          <w:r>
            <w:rPr>
              <w:i/>
              <w:u w:val="none"/>
            </w:rPr>
            <w:t>SoCalGas Stands to Make Extra Revenue If It Subscribes Its System Above the 79 Percent Level.</w:t>
          </w:r>
          <w:r>
            <w:rPr>
              <w:i w:val="false"/>
            </w:rPr>
            <w:tab/>
          </w:r>
          <w:hyperlink w:anchor="__RefHeading___Toc483408703">
            <w:r>
              <w:rPr>
                <w:rStyle w:val="IndexLink"/>
                <w:i w:val="false"/>
              </w:rPr>
              <w:t>18</w:t>
            </w:r>
          </w:hyperlink>
        </w:p>
        <w:p>
          <w:pPr>
            <w:pStyle w:val="TOC3"/>
            <w:ind w:hanging="780" w:start="1980" w:end="0"/>
            <w:rPr>
              <w:i w:val="false"/>
              <w:i w:val="false"/>
            </w:rPr>
          </w:pPr>
          <w:r>
            <w:rPr>
              <w:i/>
              <w:u w:val="none"/>
            </w:rPr>
            <w:t>2.4.2.</w:t>
          </w:r>
          <w:r>
            <w:rPr>
              <w:i w:val="false"/>
            </w:rPr>
            <w:tab/>
          </w:r>
          <w:r>
            <w:rPr>
              <w:i/>
              <w:u w:val="none"/>
            </w:rPr>
            <w:t>The Commission Has Consistently Opposed Using SFV Demand Charges in Pipeline Ratemaking.</w:t>
          </w:r>
          <w:r>
            <w:rPr>
              <w:i w:val="false"/>
            </w:rPr>
            <w:tab/>
          </w:r>
          <w:hyperlink w:anchor="__RefHeading___Toc483408704">
            <w:r>
              <w:rPr>
                <w:rStyle w:val="IndexLink"/>
                <w:i w:val="false"/>
              </w:rPr>
              <w:t>19</w:t>
            </w:r>
          </w:hyperlink>
        </w:p>
        <w:p>
          <w:pPr>
            <w:pStyle w:val="TOC2"/>
            <w:tabs>
              <w:tab w:val="clear" w:pos="720"/>
              <w:tab w:val="left" w:pos="1680" w:leader="none"/>
              <w:tab w:val="right" w:pos="8630" w:leader="dot"/>
            </w:tabs>
            <w:rPr>
              <w:caps w:val="false"/>
              <w:smallCaps w:val="false"/>
              <w:lang w:val="en-CA"/>
            </w:rPr>
          </w:pPr>
          <w:r>
            <w:rPr>
              <w:u w:val="none"/>
              <w:lang w:val="en-CA"/>
            </w:rPr>
            <w:t>2.5.</w:t>
          </w:r>
          <w:r>
            <w:rPr>
              <w:caps w:val="false"/>
              <w:smallCaps w:val="false"/>
              <w:lang w:val="en-CA"/>
            </w:rPr>
            <w:tab/>
          </w:r>
          <w:r>
            <w:rPr>
              <w:u w:val="none"/>
              <w:lang w:val="en-CA"/>
            </w:rPr>
            <w:t>Demand Charges Raise Unit Costs</w:t>
          </w:r>
          <w:r>
            <w:rPr>
              <w:lang w:val="en-CA"/>
            </w:rPr>
            <w:tab/>
          </w:r>
          <w:hyperlink w:anchor="__RefHeading___Toc483408705">
            <w:r>
              <w:rPr>
                <w:rStyle w:val="IndexLink"/>
                <w:lang w:val="en-CA"/>
              </w:rPr>
              <w:t>19</w:t>
            </w:r>
          </w:hyperlink>
        </w:p>
        <w:p>
          <w:pPr>
            <w:pStyle w:val="TOC2"/>
            <w:tabs>
              <w:tab w:val="clear" w:pos="720"/>
              <w:tab w:val="left" w:pos="1680" w:leader="none"/>
              <w:tab w:val="right" w:pos="8630" w:leader="dot"/>
            </w:tabs>
            <w:ind w:hanging="750" w:start="1710" w:end="0"/>
            <w:rPr>
              <w:caps w:val="false"/>
              <w:smallCaps w:val="false"/>
              <w:lang w:val="en-CA"/>
            </w:rPr>
          </w:pPr>
          <w:r>
            <w:rPr>
              <w:u w:val="none"/>
              <w:lang w:val="en-CA"/>
            </w:rPr>
            <w:t>2.6.</w:t>
          </w:r>
          <w:r>
            <w:rPr>
              <w:caps w:val="false"/>
              <w:smallCaps w:val="false"/>
              <w:lang w:val="en-CA"/>
            </w:rPr>
            <w:tab/>
          </w:r>
          <w:r>
            <w:rPr>
              <w:u w:val="none"/>
              <w:lang w:val="en-CA"/>
            </w:rPr>
            <w:t>Demand Charges Undermine Electric Reliability by Putting a Price Squeeze on EGs.</w:t>
          </w:r>
          <w:r>
            <w:rPr>
              <w:lang w:val="en-CA"/>
            </w:rPr>
            <w:tab/>
          </w:r>
          <w:hyperlink w:anchor="__RefHeading___Toc483408706">
            <w:r>
              <w:rPr>
                <w:rStyle w:val="IndexLink"/>
                <w:lang w:val="en-CA"/>
              </w:rPr>
              <w:t>20</w:t>
            </w:r>
          </w:hyperlink>
        </w:p>
        <w:p>
          <w:pPr>
            <w:pStyle w:val="TOC2"/>
            <w:tabs>
              <w:tab w:val="clear" w:pos="720"/>
              <w:tab w:val="left" w:pos="1680" w:leader="none"/>
              <w:tab w:val="right" w:pos="8630" w:leader="dot"/>
            </w:tabs>
            <w:rPr>
              <w:caps w:val="false"/>
              <w:smallCaps w:val="false"/>
              <w:lang w:val="en-CA"/>
            </w:rPr>
          </w:pPr>
          <w:r>
            <w:rPr>
              <w:u w:val="none"/>
              <w:lang w:val="en-CA"/>
            </w:rPr>
            <w:t>2.7.</w:t>
          </w:r>
          <w:r>
            <w:rPr>
              <w:caps w:val="false"/>
              <w:smallCaps w:val="false"/>
              <w:lang w:val="en-CA"/>
            </w:rPr>
            <w:tab/>
          </w:r>
          <w:r>
            <w:rPr>
              <w:u w:val="none"/>
              <w:lang w:val="en-CA"/>
            </w:rPr>
            <w:t>Open Season Restrictions May Reduce Electric Reliability</w:t>
          </w:r>
          <w:r>
            <w:rPr>
              <w:lang w:val="en-CA"/>
            </w:rPr>
            <w:tab/>
          </w:r>
          <w:hyperlink w:anchor="__RefHeading___Toc483408707">
            <w:r>
              <w:rPr>
                <w:rStyle w:val="IndexLink"/>
                <w:lang w:val="en-CA"/>
              </w:rPr>
              <w:t>22</w:t>
            </w:r>
          </w:hyperlink>
        </w:p>
        <w:p>
          <w:pPr>
            <w:pStyle w:val="TOC3"/>
            <w:ind w:hanging="780" w:start="1980" w:end="0"/>
            <w:rPr>
              <w:i w:val="false"/>
              <w:i w:val="false"/>
            </w:rPr>
          </w:pPr>
          <w:r>
            <w:rPr>
              <w:i/>
              <w:u w:val="none"/>
            </w:rPr>
            <w:t>2.7.1.</w:t>
          </w:r>
          <w:r>
            <w:rPr>
              <w:i w:val="false"/>
            </w:rPr>
            <w:tab/>
          </w:r>
          <w:r>
            <w:rPr>
              <w:i/>
              <w:u w:val="none"/>
            </w:rPr>
            <w:t>Secondary Markets and Interruptible Capacity Would Not Meet the Needs of Electric Generators.</w:t>
          </w:r>
          <w:r>
            <w:rPr>
              <w:i w:val="false"/>
            </w:rPr>
            <w:tab/>
          </w:r>
          <w:hyperlink w:anchor="__RefHeading___Toc483408708">
            <w:r>
              <w:rPr>
                <w:rStyle w:val="IndexLink"/>
                <w:i w:val="false"/>
              </w:rPr>
              <w:t>23</w:t>
            </w:r>
          </w:hyperlink>
        </w:p>
        <w:p>
          <w:pPr>
            <w:pStyle w:val="TOC2"/>
            <w:tabs>
              <w:tab w:val="clear" w:pos="720"/>
              <w:tab w:val="left" w:pos="1680" w:leader="none"/>
              <w:tab w:val="right" w:pos="8630" w:leader="dot"/>
            </w:tabs>
            <w:rPr>
              <w:caps w:val="false"/>
              <w:smallCaps w:val="false"/>
              <w:lang w:val="en-CA"/>
            </w:rPr>
          </w:pPr>
          <w:r>
            <w:rPr>
              <w:u w:val="none"/>
              <w:lang w:val="en-CA"/>
            </w:rPr>
            <w:t>2.8.</w:t>
          </w:r>
          <w:r>
            <w:rPr>
              <w:caps w:val="false"/>
              <w:smallCaps w:val="false"/>
              <w:lang w:val="en-CA"/>
            </w:rPr>
            <w:tab/>
          </w:r>
          <w:r>
            <w:rPr>
              <w:u w:val="none"/>
              <w:lang w:val="en-CA"/>
            </w:rPr>
            <w:t>The CSA Benefits Are Illusory.  (Yap)</w:t>
          </w:r>
          <w:r>
            <w:rPr>
              <w:lang w:val="en-CA"/>
            </w:rPr>
            <w:tab/>
          </w:r>
          <w:hyperlink w:anchor="__RefHeading___Toc483408709">
            <w:r>
              <w:rPr>
                <w:rStyle w:val="IndexLink"/>
                <w:lang w:val="en-CA"/>
              </w:rPr>
              <w:t>24</w:t>
            </w:r>
          </w:hyperlink>
        </w:p>
        <w:p>
          <w:pPr>
            <w:pStyle w:val="TOC2"/>
            <w:tabs>
              <w:tab w:val="clear" w:pos="720"/>
              <w:tab w:val="left" w:pos="1680" w:leader="none"/>
              <w:tab w:val="right" w:pos="8630" w:leader="dot"/>
            </w:tabs>
            <w:ind w:hanging="750" w:start="1710" w:end="0"/>
            <w:rPr>
              <w:caps w:val="false"/>
              <w:smallCaps w:val="false"/>
              <w:lang w:val="en-CA"/>
            </w:rPr>
          </w:pPr>
          <w:r>
            <w:rPr>
              <w:u w:val="none"/>
              <w:lang w:val="en-CA"/>
            </w:rPr>
            <w:t>2.9.</w:t>
          </w:r>
          <w:r>
            <w:rPr>
              <w:caps w:val="false"/>
              <w:smallCaps w:val="false"/>
              <w:lang w:val="en-CA"/>
            </w:rPr>
            <w:tab/>
          </w:r>
          <w:r>
            <w:rPr>
              <w:u w:val="none"/>
              <w:lang w:val="en-CA"/>
            </w:rPr>
            <w:t>The CSA Would Harm Core Customers By Dramatically Reducing Their Flexibility and Imposing New Costs.  (Yap)</w:t>
          </w:r>
          <w:r>
            <w:rPr>
              <w:lang w:val="en-CA"/>
            </w:rPr>
            <w:tab/>
          </w:r>
          <w:hyperlink w:anchor="__RefHeading___Toc483408710">
            <w:r>
              <w:rPr>
                <w:rStyle w:val="IndexLink"/>
                <w:lang w:val="en-CA"/>
              </w:rPr>
              <w:t>25</w:t>
            </w:r>
          </w:hyperlink>
        </w:p>
        <w:p>
          <w:pPr>
            <w:pStyle w:val="TOC3"/>
            <w:ind w:hanging="780" w:start="1980" w:end="0"/>
            <w:rPr/>
          </w:pPr>
          <w:r>
            <w:rPr>
              <w:i/>
              <w:u w:val="none"/>
            </w:rPr>
            <w:t>2.9.1.</w:t>
          </w:r>
          <w:r>
            <w:rPr>
              <w:i w:val="false"/>
            </w:rPr>
            <w:tab/>
          </w:r>
          <w:r>
            <w:rPr>
              <w:i/>
              <w:u w:val="none"/>
            </w:rPr>
            <w:t>Having to Deal with Capacity Rights Creates New Risks</w:t>
          </w:r>
        </w:p>
        <w:p>
          <w:pPr>
            <w:pStyle w:val="TOC3"/>
            <w:ind w:hanging="780" w:start="1980" w:end="0"/>
            <w:rPr>
              <w:i w:val="false"/>
              <w:i w:val="false"/>
            </w:rPr>
          </w:pPr>
          <w:r>
            <w:rPr>
              <w:i/>
              <w:u w:val="none"/>
            </w:rPr>
            <w:tab/>
            <w:t>for the Core</w:t>
          </w:r>
          <w:r>
            <w:rPr>
              <w:i w:val="false"/>
            </w:rPr>
            <w:tab/>
          </w:r>
          <w:hyperlink w:anchor="__RefHeading___Toc483408711">
            <w:r>
              <w:rPr>
                <w:rStyle w:val="IndexLink"/>
                <w:i w:val="false"/>
              </w:rPr>
              <w:t>26</w:t>
            </w:r>
          </w:hyperlink>
        </w:p>
        <w:p>
          <w:pPr>
            <w:pStyle w:val="TOC4"/>
            <w:tabs>
              <w:tab w:val="clear" w:pos="720"/>
              <w:tab w:val="left" w:pos="2400" w:leader="none"/>
              <w:tab w:val="right" w:pos="8630" w:leader="dot"/>
            </w:tabs>
            <w:rPr>
              <w:lang w:val="en-CA"/>
            </w:rPr>
          </w:pPr>
          <w:r>
            <w:rPr>
              <w:u w:val="none"/>
              <w:lang w:val="en-CA"/>
            </w:rPr>
            <w:t>2.9.1.1.</w:t>
          </w:r>
          <w:r>
            <w:rPr>
              <w:lang w:val="en-CA"/>
            </w:rPr>
            <w:tab/>
          </w:r>
          <w:r>
            <w:rPr>
              <w:u w:val="none"/>
              <w:lang w:val="en-CA"/>
            </w:rPr>
            <w:t>Option 1:  Reserve Full Requirement for Flowing Supplies</w:t>
          </w:r>
          <w:r>
            <w:rPr>
              <w:lang w:val="en-CA"/>
            </w:rPr>
            <w:tab/>
          </w:r>
          <w:hyperlink w:anchor="__RefHeading___Toc483408712">
            <w:r>
              <w:rPr>
                <w:rStyle w:val="IndexLink"/>
                <w:lang w:val="en-CA"/>
              </w:rPr>
              <w:t>26</w:t>
            </w:r>
          </w:hyperlink>
        </w:p>
        <w:p>
          <w:pPr>
            <w:pStyle w:val="TOC4"/>
            <w:tabs>
              <w:tab w:val="clear" w:pos="720"/>
              <w:tab w:val="left" w:pos="3420" w:leader="none"/>
              <w:tab w:val="right" w:pos="8630" w:leader="dot"/>
            </w:tabs>
            <w:ind w:hanging="990" w:start="2430" w:end="0"/>
            <w:rPr>
              <w:lang w:val="en-CA"/>
            </w:rPr>
          </w:pPr>
          <w:r>
            <w:rPr>
              <w:u w:val="none"/>
              <w:lang w:val="en-CA"/>
            </w:rPr>
            <w:t>2.9.1.2.</w:t>
          </w:r>
          <w:r>
            <w:rPr>
              <w:lang w:val="en-CA"/>
            </w:rPr>
            <w:tab/>
          </w:r>
          <w:r>
            <w:rPr>
              <w:u w:val="none"/>
              <w:lang w:val="en-CA"/>
            </w:rPr>
            <w:t>Option 2:  Reserve Less than Full Annual Requirements for  Flowing Supplies</w:t>
          </w:r>
          <w:r>
            <w:rPr>
              <w:lang w:val="en-CA"/>
            </w:rPr>
            <w:tab/>
          </w:r>
          <w:hyperlink w:anchor="__RefHeading___Toc483408713">
            <w:r>
              <w:rPr>
                <w:rStyle w:val="IndexLink"/>
                <w:lang w:val="en-CA"/>
              </w:rPr>
              <w:t>26</w:t>
            </w:r>
          </w:hyperlink>
        </w:p>
        <w:p>
          <w:pPr>
            <w:pStyle w:val="TOC3"/>
            <w:rPr/>
          </w:pPr>
          <w:r>
            <w:rPr>
              <w:i/>
              <w:u w:val="none"/>
            </w:rPr>
            <w:t>2.9.2.</w:t>
          </w:r>
          <w:r>
            <w:rPr>
              <w:i w:val="false"/>
            </w:rPr>
            <w:tab/>
          </w:r>
          <w:r>
            <w:rPr>
              <w:i/>
              <w:u w:val="none"/>
            </w:rPr>
            <w:t>The CSA Increases Transmission Costs</w:t>
          </w:r>
        </w:p>
        <w:p>
          <w:pPr>
            <w:pStyle w:val="TOC3"/>
            <w:rPr>
              <w:i w:val="false"/>
              <w:i w:val="false"/>
            </w:rPr>
          </w:pPr>
          <w:r>
            <w:rPr>
              <w:i/>
              <w:u w:val="none"/>
            </w:rPr>
            <w:tab/>
            <w:t xml:space="preserve"> for Core Customers.  (Yap)</w:t>
          </w:r>
          <w:r>
            <w:rPr>
              <w:i w:val="false"/>
            </w:rPr>
            <w:tab/>
          </w:r>
          <w:hyperlink w:anchor="__RefHeading___Toc483408714">
            <w:r>
              <w:rPr>
                <w:rStyle w:val="IndexLink"/>
                <w:i w:val="false"/>
              </w:rPr>
              <w:t>27</w:t>
            </w:r>
          </w:hyperlink>
        </w:p>
        <w:p>
          <w:pPr>
            <w:pStyle w:val="TOC1"/>
            <w:tabs>
              <w:tab w:val="clear" w:pos="720"/>
              <w:tab w:val="left" w:pos="1200" w:leader="none"/>
              <w:tab w:val="right" w:pos="8630" w:leader="dot"/>
            </w:tabs>
            <w:rPr>
              <w:b w:val="false"/>
              <w:caps w:val="false"/>
              <w:smallCaps w:val="false"/>
              <w:lang w:val="en-CA"/>
            </w:rPr>
          </w:pPr>
          <w:r>
            <w:rPr>
              <w:u w:val="none"/>
              <w:lang w:val="en-CA"/>
            </w:rPr>
            <w:t>3.</w:t>
          </w:r>
          <w:r>
            <w:rPr>
              <w:b w:val="false"/>
              <w:caps w:val="false"/>
              <w:smallCaps w:val="false"/>
              <w:lang w:val="en-CA"/>
            </w:rPr>
            <w:tab/>
          </w:r>
          <w:r>
            <w:rPr>
              <w:u w:val="none"/>
              <w:lang w:val="en-CA"/>
            </w:rPr>
            <w:t>Storage (Yap)</w:t>
          </w:r>
          <w:r>
            <w:rPr>
              <w:lang w:val="en-CA"/>
            </w:rPr>
            <w:tab/>
          </w:r>
          <w:hyperlink w:anchor="__RefHeading___Toc483408715">
            <w:r>
              <w:rPr>
                <w:rStyle w:val="IndexLink"/>
                <w:lang w:val="en-CA"/>
              </w:rPr>
              <w:t>28</w:t>
            </w:r>
          </w:hyperlink>
        </w:p>
        <w:p>
          <w:pPr>
            <w:pStyle w:val="TOC2"/>
            <w:tabs>
              <w:tab w:val="clear" w:pos="720"/>
              <w:tab w:val="left" w:pos="1680" w:leader="none"/>
              <w:tab w:val="right" w:pos="8630" w:leader="dot"/>
            </w:tabs>
            <w:ind w:hanging="750" w:start="1710" w:end="0"/>
            <w:rPr>
              <w:caps w:val="false"/>
              <w:smallCaps w:val="false"/>
              <w:lang w:val="en-CA"/>
            </w:rPr>
          </w:pPr>
          <w:r>
            <w:rPr>
              <w:u w:val="none"/>
              <w:lang w:val="en-CA"/>
            </w:rPr>
            <w:t>3.1.</w:t>
          </w:r>
          <w:r>
            <w:rPr>
              <w:caps w:val="false"/>
              <w:smallCaps w:val="false"/>
              <w:lang w:val="en-CA"/>
            </w:rPr>
            <w:tab/>
          </w:r>
          <w:r>
            <w:rPr>
              <w:u w:val="none"/>
              <w:lang w:val="en-CA"/>
            </w:rPr>
            <w:t>The CSA Eliminates the Cost Cap in Violation of the Commission’s Most Promising Options Discussion.  (Yap)</w:t>
          </w:r>
          <w:r>
            <w:rPr>
              <w:lang w:val="en-CA"/>
            </w:rPr>
            <w:tab/>
          </w:r>
          <w:hyperlink w:anchor="__RefHeading___Toc483408716">
            <w:r>
              <w:rPr>
                <w:rStyle w:val="IndexLink"/>
                <w:lang w:val="en-CA"/>
              </w:rPr>
              <w:t>28</w:t>
            </w:r>
          </w:hyperlink>
        </w:p>
        <w:p>
          <w:pPr>
            <w:pStyle w:val="TOC3"/>
            <w:rPr>
              <w:i w:val="false"/>
              <w:i w:val="false"/>
            </w:rPr>
          </w:pPr>
          <w:r>
            <w:rPr>
              <w:i/>
              <w:u w:val="none"/>
            </w:rPr>
            <w:t>3.1.1.</w:t>
          </w:r>
          <w:r>
            <w:rPr>
              <w:i w:val="false"/>
            </w:rPr>
            <w:tab/>
          </w:r>
          <w:r>
            <w:rPr>
              <w:i/>
              <w:u w:val="none"/>
            </w:rPr>
            <w:t>SoCalGas Dominates the Southern California Storage Market.</w:t>
          </w:r>
          <w:r>
            <w:rPr>
              <w:i w:val="false"/>
            </w:rPr>
            <w:tab/>
          </w:r>
          <w:hyperlink w:anchor="__RefHeading___Toc483408717">
            <w:r>
              <w:rPr>
                <w:rStyle w:val="IndexLink"/>
                <w:i w:val="false"/>
              </w:rPr>
              <w:t>29</w:t>
            </w:r>
          </w:hyperlink>
        </w:p>
        <w:p>
          <w:pPr>
            <w:pStyle w:val="TOC3"/>
            <w:ind w:hanging="780" w:start="1980" w:end="0"/>
            <w:rPr>
              <w:i w:val="false"/>
              <w:i w:val="false"/>
            </w:rPr>
          </w:pPr>
          <w:r>
            <w:rPr>
              <w:i/>
              <w:u w:val="none"/>
            </w:rPr>
            <w:t>3.1.2.</w:t>
          </w:r>
          <w:r>
            <w:rPr>
              <w:i w:val="false"/>
            </w:rPr>
            <w:tab/>
          </w:r>
          <w:r>
            <w:rPr>
              <w:i/>
              <w:u w:val="none"/>
            </w:rPr>
            <w:t>PG&amp;E Has Cost Caps on Pricing Its Unbundled Storage Products Under the Gas Accord.</w:t>
          </w:r>
          <w:r>
            <w:rPr>
              <w:i w:val="false"/>
            </w:rPr>
            <w:tab/>
          </w:r>
          <w:hyperlink w:anchor="__RefHeading___Toc483408718">
            <w:r>
              <w:rPr>
                <w:rStyle w:val="IndexLink"/>
                <w:i w:val="false"/>
              </w:rPr>
              <w:t>31</w:t>
            </w:r>
          </w:hyperlink>
        </w:p>
        <w:p>
          <w:pPr>
            <w:pStyle w:val="TOC2"/>
            <w:tabs>
              <w:tab w:val="clear" w:pos="720"/>
              <w:tab w:val="left" w:pos="1680" w:leader="none"/>
              <w:tab w:val="right" w:pos="8630" w:leader="dot"/>
            </w:tabs>
            <w:ind w:hanging="750" w:start="1710" w:end="0"/>
            <w:rPr>
              <w:caps w:val="false"/>
              <w:smallCaps w:val="false"/>
              <w:lang w:val="en-CA"/>
            </w:rPr>
          </w:pPr>
          <w:r>
            <w:rPr>
              <w:u w:val="none"/>
              <w:lang w:val="en-CA"/>
            </w:rPr>
            <w:t>3.2.</w:t>
          </w:r>
          <w:r>
            <w:rPr>
              <w:caps w:val="false"/>
              <w:smallCaps w:val="false"/>
              <w:lang w:val="en-CA"/>
            </w:rPr>
            <w:tab/>
          </w:r>
          <w:r>
            <w:rPr>
              <w:u w:val="none"/>
              <w:lang w:val="en-CA"/>
            </w:rPr>
            <w:t>The CSA’s Standard Storage Package Provides Insufficient Protection for Load Balancing Customers.  (Yap)</w:t>
          </w:r>
          <w:r>
            <w:rPr>
              <w:lang w:val="en-CA"/>
            </w:rPr>
            <w:tab/>
          </w:r>
          <w:hyperlink w:anchor="__RefHeading___Toc483408719">
            <w:r>
              <w:rPr>
                <w:rStyle w:val="IndexLink"/>
                <w:lang w:val="en-CA"/>
              </w:rPr>
              <w:t>31</w:t>
            </w:r>
          </w:hyperlink>
        </w:p>
        <w:p>
          <w:pPr>
            <w:pStyle w:val="TOC2"/>
            <w:tabs>
              <w:tab w:val="clear" w:pos="720"/>
              <w:tab w:val="left" w:pos="1680" w:leader="none"/>
              <w:tab w:val="right" w:pos="8630" w:leader="dot"/>
            </w:tabs>
            <w:ind w:hanging="750" w:start="1710" w:end="0"/>
            <w:rPr>
              <w:caps w:val="false"/>
              <w:smallCaps w:val="false"/>
              <w:lang w:val="en-CA"/>
            </w:rPr>
          </w:pPr>
          <w:r>
            <w:rPr>
              <w:u w:val="none"/>
              <w:lang w:val="en-CA"/>
            </w:rPr>
            <w:t>3.3.</w:t>
          </w:r>
          <w:r>
            <w:rPr>
              <w:caps w:val="false"/>
              <w:smallCaps w:val="false"/>
              <w:lang w:val="en-CA"/>
            </w:rPr>
            <w:tab/>
          </w:r>
          <w:r>
            <w:rPr>
              <w:u w:val="none"/>
              <w:lang w:val="en-CA"/>
            </w:rPr>
            <w:t>The IS/PI Imposes a Cost-Based Cap on Storage Products During the Entire Settlement Period.  (Yap)</w:t>
          </w:r>
          <w:r>
            <w:rPr>
              <w:lang w:val="en-CA"/>
            </w:rPr>
            <w:tab/>
          </w:r>
          <w:hyperlink w:anchor="__RefHeading___Toc483408720">
            <w:r>
              <w:rPr>
                <w:rStyle w:val="IndexLink"/>
                <w:lang w:val="en-CA"/>
              </w:rPr>
              <w:t>33</w:t>
            </w:r>
          </w:hyperlink>
        </w:p>
        <w:p>
          <w:pPr>
            <w:pStyle w:val="TOC2"/>
            <w:tabs>
              <w:tab w:val="clear" w:pos="720"/>
              <w:tab w:val="left" w:pos="1680" w:leader="none"/>
              <w:tab w:val="right" w:pos="8630" w:leader="dot"/>
            </w:tabs>
            <w:ind w:hanging="750" w:start="1710" w:end="0"/>
            <w:rPr>
              <w:caps w:val="false"/>
              <w:smallCaps w:val="false"/>
              <w:lang w:val="en-CA"/>
            </w:rPr>
          </w:pPr>
          <w:r>
            <w:rPr>
              <w:u w:val="none"/>
              <w:lang w:val="en-CA"/>
            </w:rPr>
            <w:t>3.4.</w:t>
          </w:r>
          <w:r>
            <w:rPr>
              <w:caps w:val="false"/>
              <w:smallCaps w:val="false"/>
              <w:lang w:val="en-CA"/>
            </w:rPr>
            <w:tab/>
          </w:r>
          <w:r>
            <w:rPr>
              <w:u w:val="none"/>
              <w:lang w:val="en-CA"/>
            </w:rPr>
            <w:t>The CSA Reduces the Core’s Seasonal Storage Reservation (Florio)</w:t>
          </w:r>
          <w:r>
            <w:rPr>
              <w:lang w:val="en-CA"/>
            </w:rPr>
            <w:tab/>
          </w:r>
          <w:hyperlink w:anchor="__RefHeading___Toc483408721">
            <w:r>
              <w:rPr>
                <w:rStyle w:val="IndexLink"/>
                <w:lang w:val="en-CA"/>
              </w:rPr>
              <w:t>33</w:t>
            </w:r>
          </w:hyperlink>
        </w:p>
        <w:p>
          <w:pPr>
            <w:pStyle w:val="TOC2"/>
            <w:tabs>
              <w:tab w:val="clear" w:pos="720"/>
              <w:tab w:val="left" w:pos="1680" w:leader="none"/>
              <w:tab w:val="right" w:pos="8630" w:leader="dot"/>
            </w:tabs>
            <w:ind w:hanging="750" w:start="1710" w:end="0"/>
            <w:rPr>
              <w:caps w:val="false"/>
              <w:smallCaps w:val="false"/>
              <w:lang w:val="en-CA"/>
            </w:rPr>
          </w:pPr>
          <w:r>
            <w:rPr>
              <w:u w:val="none"/>
              <w:lang w:val="en-CA"/>
            </w:rPr>
            <w:t>3.5.</w:t>
          </w:r>
          <w:r>
            <w:rPr>
              <w:caps w:val="false"/>
              <w:smallCaps w:val="false"/>
              <w:lang w:val="en-CA"/>
            </w:rPr>
            <w:tab/>
          </w:r>
          <w:r>
            <w:rPr>
              <w:u w:val="none"/>
              <w:lang w:val="en-CA"/>
            </w:rPr>
            <w:t>The CSA Fails to Remove the Montebello Storage Field from Rates.  (Florio)</w:t>
          </w:r>
          <w:r>
            <w:rPr>
              <w:lang w:val="en-CA"/>
            </w:rPr>
            <w:tab/>
          </w:r>
          <w:hyperlink w:anchor="__RefHeading___Toc483408722">
            <w:r>
              <w:rPr>
                <w:rStyle w:val="IndexLink"/>
                <w:lang w:val="en-CA"/>
              </w:rPr>
              <w:t>34</w:t>
            </w:r>
          </w:hyperlink>
        </w:p>
        <w:p>
          <w:pPr>
            <w:pStyle w:val="TOC1"/>
            <w:tabs>
              <w:tab w:val="clear" w:pos="720"/>
              <w:tab w:val="left" w:pos="1200" w:leader="none"/>
              <w:tab w:val="right" w:pos="8630" w:leader="dot"/>
            </w:tabs>
            <w:rPr>
              <w:b w:val="false"/>
              <w:caps w:val="false"/>
              <w:smallCaps w:val="false"/>
              <w:lang w:val="en-CA"/>
            </w:rPr>
          </w:pPr>
          <w:r>
            <w:rPr>
              <w:u w:val="none"/>
              <w:lang w:val="en-CA"/>
            </w:rPr>
            <w:t>4.</w:t>
          </w:r>
          <w:r>
            <w:rPr>
              <w:b w:val="false"/>
              <w:caps w:val="false"/>
              <w:smallCaps w:val="false"/>
              <w:lang w:val="en-CA"/>
            </w:rPr>
            <w:tab/>
          </w:r>
          <w:r>
            <w:rPr>
              <w:u w:val="none"/>
              <w:lang w:val="en-CA"/>
            </w:rPr>
            <w:t>Load Balancing Issues</w:t>
          </w:r>
          <w:r>
            <w:rPr>
              <w:lang w:val="en-CA"/>
            </w:rPr>
            <w:tab/>
          </w:r>
          <w:hyperlink w:anchor="__RefHeading___Toc483408723">
            <w:r>
              <w:rPr>
                <w:rStyle w:val="IndexLink"/>
                <w:lang w:val="en-CA"/>
              </w:rPr>
              <w:t>34</w:t>
            </w:r>
          </w:hyperlink>
        </w:p>
        <w:p>
          <w:pPr>
            <w:pStyle w:val="TOC2"/>
            <w:tabs>
              <w:tab w:val="clear" w:pos="720"/>
              <w:tab w:val="left" w:pos="1680" w:leader="none"/>
              <w:tab w:val="right" w:pos="8630" w:leader="dot"/>
            </w:tabs>
            <w:ind w:hanging="750" w:start="1710" w:end="0"/>
            <w:rPr>
              <w:caps w:val="false"/>
              <w:smallCaps w:val="false"/>
              <w:lang w:val="en-CA"/>
            </w:rPr>
          </w:pPr>
          <w:r>
            <w:rPr>
              <w:u w:val="none"/>
              <w:lang w:val="en-CA"/>
            </w:rPr>
            <w:t>4.1.</w:t>
          </w:r>
          <w:r>
            <w:rPr>
              <w:caps w:val="false"/>
              <w:smallCaps w:val="false"/>
              <w:lang w:val="en-CA"/>
            </w:rPr>
            <w:tab/>
          </w:r>
          <w:r>
            <w:rPr>
              <w:u w:val="none"/>
              <w:lang w:val="en-CA"/>
            </w:rPr>
            <w:t>The CSA Radically Changes the Nature of Load Balancing Service.  (Florio)</w:t>
          </w:r>
          <w:r>
            <w:rPr>
              <w:lang w:val="en-CA"/>
            </w:rPr>
            <w:tab/>
          </w:r>
          <w:hyperlink w:anchor="__RefHeading___Toc483408724">
            <w:r>
              <w:rPr>
                <w:rStyle w:val="IndexLink"/>
                <w:lang w:val="en-CA"/>
              </w:rPr>
              <w:t>34</w:t>
            </w:r>
          </w:hyperlink>
        </w:p>
        <w:p>
          <w:pPr>
            <w:pStyle w:val="TOC2"/>
            <w:tabs>
              <w:tab w:val="clear" w:pos="720"/>
              <w:tab w:val="left" w:pos="1680" w:leader="none"/>
              <w:tab w:val="right" w:pos="8630" w:leader="dot"/>
            </w:tabs>
            <w:ind w:hanging="750" w:start="1710" w:end="0"/>
            <w:rPr>
              <w:caps w:val="false"/>
              <w:smallCaps w:val="false"/>
              <w:lang w:val="en-CA"/>
            </w:rPr>
          </w:pPr>
          <w:r>
            <w:rPr>
              <w:u w:val="none"/>
              <w:lang w:val="en-CA"/>
            </w:rPr>
            <w:t>4.2.</w:t>
          </w:r>
          <w:r>
            <w:rPr>
              <w:caps w:val="false"/>
              <w:smallCaps w:val="false"/>
              <w:lang w:val="en-CA"/>
            </w:rPr>
            <w:tab/>
          </w:r>
          <w:r>
            <w:rPr>
              <w:u w:val="none"/>
              <w:lang w:val="en-CA"/>
            </w:rPr>
            <w:t>Postpone Any Modification to BCAP Load Balancing Reservation Levels Until the Next BCAP.  (Yap)</w:t>
          </w:r>
          <w:r>
            <w:rPr>
              <w:lang w:val="en-CA"/>
            </w:rPr>
            <w:tab/>
          </w:r>
          <w:hyperlink w:anchor="__RefHeading___Toc483408725">
            <w:r>
              <w:rPr>
                <w:rStyle w:val="IndexLink"/>
                <w:lang w:val="en-CA"/>
              </w:rPr>
              <w:t>35</w:t>
            </w:r>
          </w:hyperlink>
        </w:p>
        <w:p>
          <w:pPr>
            <w:pStyle w:val="TOC2"/>
            <w:tabs>
              <w:tab w:val="clear" w:pos="720"/>
              <w:tab w:val="left" w:pos="1680" w:leader="none"/>
              <w:tab w:val="right" w:pos="8630" w:leader="dot"/>
            </w:tabs>
            <w:ind w:hanging="750" w:start="1710" w:end="0"/>
            <w:rPr>
              <w:caps w:val="false"/>
              <w:smallCaps w:val="false"/>
              <w:lang w:val="en-CA"/>
            </w:rPr>
          </w:pPr>
          <w:r>
            <w:rPr>
              <w:u w:val="none"/>
              <w:lang w:val="en-CA"/>
            </w:rPr>
            <w:t>4.3.</w:t>
          </w:r>
          <w:r>
            <w:rPr>
              <w:caps w:val="false"/>
              <w:smallCaps w:val="false"/>
              <w:lang w:val="en-CA"/>
            </w:rPr>
            <w:tab/>
          </w:r>
          <w:r>
            <w:rPr>
              <w:u w:val="none"/>
              <w:lang w:val="en-CA"/>
            </w:rPr>
            <w:t>The CSA Would Cause a Dramatic Increase in the Number and Intensity of OFO Events by Eliminating the Benefits of Diversity.  (Yap)</w:t>
          </w:r>
          <w:r>
            <w:rPr>
              <w:lang w:val="en-CA"/>
            </w:rPr>
            <w:tab/>
          </w:r>
          <w:hyperlink w:anchor="__RefHeading___Toc483408726">
            <w:r>
              <w:rPr>
                <w:rStyle w:val="IndexLink"/>
                <w:lang w:val="en-CA"/>
              </w:rPr>
              <w:t>35</w:t>
            </w:r>
          </w:hyperlink>
        </w:p>
        <w:p>
          <w:pPr>
            <w:pStyle w:val="TOC2"/>
            <w:tabs>
              <w:tab w:val="clear" w:pos="720"/>
              <w:tab w:val="left" w:pos="1680" w:leader="none"/>
              <w:tab w:val="right" w:pos="8630" w:leader="dot"/>
            </w:tabs>
            <w:ind w:hanging="750" w:start="1710" w:end="0"/>
            <w:rPr>
              <w:caps w:val="false"/>
              <w:smallCaps w:val="false"/>
              <w:lang w:val="en-CA"/>
            </w:rPr>
          </w:pPr>
          <w:r>
            <w:rPr>
              <w:u w:val="none"/>
              <w:lang w:val="en-CA"/>
            </w:rPr>
            <w:t>4.4.</w:t>
          </w:r>
          <w:r>
            <w:rPr>
              <w:caps w:val="false"/>
              <w:smallCaps w:val="false"/>
              <w:lang w:val="en-CA"/>
            </w:rPr>
            <w:tab/>
          </w:r>
          <w:r>
            <w:rPr>
              <w:u w:val="none"/>
              <w:lang w:val="en-CA"/>
            </w:rPr>
            <w:t>Hub Services Should Be Left in the GCIM until January 1, 2003 Consistent with the Provisions of the IS.   (Florio)</w:t>
          </w:r>
          <w:r>
            <w:rPr>
              <w:lang w:val="en-CA"/>
            </w:rPr>
            <w:tab/>
          </w:r>
          <w:hyperlink w:anchor="__RefHeading___Toc483408727">
            <w:r>
              <w:rPr>
                <w:rStyle w:val="IndexLink"/>
                <w:lang w:val="en-CA"/>
              </w:rPr>
              <w:t>37</w:t>
            </w:r>
          </w:hyperlink>
        </w:p>
        <w:p>
          <w:pPr>
            <w:pStyle w:val="TOC2"/>
            <w:tabs>
              <w:tab w:val="clear" w:pos="720"/>
              <w:tab w:val="left" w:pos="1680" w:leader="none"/>
              <w:tab w:val="right" w:pos="8630" w:leader="dot"/>
            </w:tabs>
            <w:rPr>
              <w:caps w:val="false"/>
              <w:smallCaps w:val="false"/>
              <w:lang w:val="en-CA"/>
            </w:rPr>
          </w:pPr>
          <w:r>
            <w:rPr>
              <w:u w:val="none"/>
              <w:lang w:val="en-CA"/>
            </w:rPr>
            <w:t>4.5.</w:t>
          </w:r>
          <w:r>
            <w:rPr>
              <w:caps w:val="false"/>
              <w:smallCaps w:val="false"/>
              <w:lang w:val="en-CA"/>
            </w:rPr>
            <w:tab/>
          </w:r>
          <w:r>
            <w:rPr>
              <w:u w:val="none"/>
              <w:lang w:val="en-CA"/>
            </w:rPr>
            <w:t>The Service Interruption Credit Should Be Retained. (Florio)</w:t>
          </w:r>
          <w:r>
            <w:rPr>
              <w:lang w:val="en-CA"/>
            </w:rPr>
            <w:tab/>
          </w:r>
          <w:hyperlink w:anchor="__RefHeading___Toc483408728">
            <w:r>
              <w:rPr>
                <w:rStyle w:val="IndexLink"/>
                <w:lang w:val="en-CA"/>
              </w:rPr>
              <w:t>38</w:t>
            </w:r>
          </w:hyperlink>
        </w:p>
        <w:p>
          <w:pPr>
            <w:pStyle w:val="TOC1"/>
            <w:tabs>
              <w:tab w:val="clear" w:pos="720"/>
              <w:tab w:val="left" w:pos="1200" w:leader="none"/>
              <w:tab w:val="right" w:pos="8630" w:leader="dot"/>
            </w:tabs>
            <w:ind w:hanging="540" w:start="1260" w:end="0"/>
            <w:rPr>
              <w:b w:val="false"/>
              <w:caps w:val="false"/>
              <w:smallCaps w:val="false"/>
              <w:lang w:val="en-CA"/>
            </w:rPr>
          </w:pPr>
          <w:r>
            <w:rPr>
              <w:u w:val="none"/>
              <w:lang w:val="en-CA"/>
            </w:rPr>
            <w:t>5.</w:t>
          </w:r>
          <w:r>
            <w:rPr>
              <w:b w:val="false"/>
              <w:caps w:val="false"/>
              <w:smallCaps w:val="false"/>
              <w:lang w:val="en-CA"/>
            </w:rPr>
            <w:tab/>
          </w:r>
          <w:r>
            <w:rPr>
              <w:u w:val="none"/>
              <w:lang w:val="en-CA"/>
            </w:rPr>
            <w:t>Edison and SDG&amp;E Should Have to Pay the Ratepayers Consideration in Order to Be Released from Their Wheeler Ridge Access Agreements per D.00-04-060.  (Yap)</w:t>
          </w:r>
          <w:r>
            <w:rPr>
              <w:lang w:val="en-CA"/>
            </w:rPr>
            <w:tab/>
          </w:r>
          <w:hyperlink w:anchor="__RefHeading___Toc483408729">
            <w:r>
              <w:rPr>
                <w:rStyle w:val="IndexLink"/>
                <w:lang w:val="en-CA"/>
              </w:rPr>
              <w:t>39</w:t>
            </w:r>
          </w:hyperlink>
        </w:p>
        <w:p>
          <w:pPr>
            <w:pStyle w:val="TOC1"/>
            <w:tabs>
              <w:tab w:val="clear" w:pos="720"/>
              <w:tab w:val="left" w:pos="1200" w:leader="none"/>
              <w:tab w:val="right" w:pos="8630" w:leader="dot"/>
            </w:tabs>
            <w:rPr>
              <w:b w:val="false"/>
              <w:caps w:val="false"/>
              <w:smallCaps w:val="false"/>
              <w:lang w:val="en-CA"/>
            </w:rPr>
          </w:pPr>
          <w:r>
            <w:rPr>
              <w:u w:val="none"/>
              <w:lang w:val="en-CA"/>
            </w:rPr>
            <w:t>6.</w:t>
          </w:r>
          <w:r>
            <w:rPr>
              <w:b w:val="false"/>
              <w:caps w:val="false"/>
              <w:smallCaps w:val="false"/>
              <w:lang w:val="en-CA"/>
            </w:rPr>
            <w:tab/>
          </w:r>
          <w:r>
            <w:rPr>
              <w:u w:val="none"/>
              <w:lang w:val="en-CA"/>
            </w:rPr>
            <w:t>Unbundling for CATs (Florio)</w:t>
          </w:r>
          <w:r>
            <w:rPr>
              <w:lang w:val="en-CA"/>
            </w:rPr>
            <w:tab/>
          </w:r>
          <w:hyperlink w:anchor="__RefHeading___Toc483408730">
            <w:r>
              <w:rPr>
                <w:rStyle w:val="IndexLink"/>
                <w:lang w:val="en-CA"/>
              </w:rPr>
              <w:t>40</w:t>
            </w:r>
          </w:hyperlink>
        </w:p>
        <w:p>
          <w:pPr>
            <w:pStyle w:val="TOC2"/>
            <w:tabs>
              <w:tab w:val="clear" w:pos="720"/>
              <w:tab w:val="left" w:pos="1680" w:leader="none"/>
              <w:tab w:val="right" w:pos="8630" w:leader="dot"/>
            </w:tabs>
            <w:rPr>
              <w:caps w:val="false"/>
              <w:smallCaps w:val="false"/>
              <w:lang w:val="en-CA"/>
            </w:rPr>
          </w:pPr>
          <w:r>
            <w:rPr>
              <w:u w:val="none"/>
              <w:lang w:val="en-CA"/>
            </w:rPr>
            <w:t>6.1.</w:t>
          </w:r>
          <w:r>
            <w:rPr>
              <w:caps w:val="false"/>
              <w:smallCaps w:val="false"/>
              <w:lang w:val="en-CA"/>
            </w:rPr>
            <w:tab/>
          </w:r>
          <w:r>
            <w:rPr>
              <w:u w:val="none"/>
              <w:lang w:val="en-CA"/>
            </w:rPr>
            <w:t>How Much Should Be Done for CATs?</w:t>
          </w:r>
          <w:r>
            <w:rPr>
              <w:lang w:val="en-CA"/>
            </w:rPr>
            <w:tab/>
          </w:r>
          <w:hyperlink w:anchor="__RefHeading___Toc483408731">
            <w:r>
              <w:rPr>
                <w:rStyle w:val="IndexLink"/>
                <w:lang w:val="en-CA"/>
              </w:rPr>
              <w:t>40</w:t>
            </w:r>
          </w:hyperlink>
        </w:p>
        <w:p>
          <w:pPr>
            <w:pStyle w:val="TOC2"/>
            <w:tabs>
              <w:tab w:val="clear" w:pos="720"/>
              <w:tab w:val="left" w:pos="1680" w:leader="none"/>
              <w:tab w:val="right" w:pos="8630" w:leader="dot"/>
            </w:tabs>
            <w:rPr>
              <w:caps w:val="false"/>
              <w:smallCaps w:val="false"/>
              <w:lang w:val="en-CA"/>
            </w:rPr>
          </w:pPr>
          <w:r>
            <w:rPr>
              <w:u w:val="none"/>
              <w:lang w:val="en-CA"/>
            </w:rPr>
            <w:t>6.2.</w:t>
          </w:r>
          <w:r>
            <w:rPr>
              <w:caps w:val="false"/>
              <w:smallCaps w:val="false"/>
              <w:lang w:val="en-CA"/>
            </w:rPr>
            <w:tab/>
          </w:r>
          <w:r>
            <w:rPr>
              <w:u w:val="none"/>
              <w:lang w:val="en-CA"/>
            </w:rPr>
            <w:t>Interstate Capacity Unbundling for CATs.</w:t>
          </w:r>
          <w:r>
            <w:rPr>
              <w:lang w:val="en-CA"/>
            </w:rPr>
            <w:tab/>
          </w:r>
          <w:hyperlink w:anchor="__RefHeading___Toc483408732">
            <w:r>
              <w:rPr>
                <w:rStyle w:val="IndexLink"/>
                <w:lang w:val="en-CA"/>
              </w:rPr>
              <w:t>40</w:t>
            </w:r>
          </w:hyperlink>
        </w:p>
        <w:p>
          <w:pPr>
            <w:pStyle w:val="TOC2"/>
            <w:tabs>
              <w:tab w:val="clear" w:pos="720"/>
              <w:tab w:val="left" w:pos="1680" w:leader="none"/>
              <w:tab w:val="right" w:pos="8630" w:leader="dot"/>
            </w:tabs>
            <w:rPr>
              <w:caps w:val="false"/>
              <w:smallCaps w:val="false"/>
              <w:lang w:val="en-CA"/>
            </w:rPr>
          </w:pPr>
          <w:r>
            <w:rPr>
              <w:u w:val="none"/>
              <w:lang w:val="en-CA"/>
            </w:rPr>
            <w:t>6.3.</w:t>
          </w:r>
          <w:r>
            <w:rPr>
              <w:caps w:val="false"/>
              <w:smallCaps w:val="false"/>
              <w:lang w:val="en-CA"/>
            </w:rPr>
            <w:tab/>
          </w:r>
          <w:r>
            <w:rPr>
              <w:u w:val="none"/>
              <w:lang w:val="en-CA"/>
            </w:rPr>
            <w:t>Storage Unbundling for CATs.</w:t>
          </w:r>
          <w:r>
            <w:rPr>
              <w:lang w:val="en-CA"/>
            </w:rPr>
            <w:tab/>
          </w:r>
          <w:hyperlink w:anchor="__RefHeading___Toc483408733">
            <w:r>
              <w:rPr>
                <w:rStyle w:val="IndexLink"/>
                <w:lang w:val="en-CA"/>
              </w:rPr>
              <w:t>42</w:t>
            </w:r>
          </w:hyperlink>
        </w:p>
        <w:p>
          <w:pPr>
            <w:pStyle w:val="TOC1"/>
            <w:tabs>
              <w:tab w:val="clear" w:pos="720"/>
              <w:tab w:val="left" w:pos="1200" w:leader="none"/>
              <w:tab w:val="right" w:pos="8630" w:leader="dot"/>
            </w:tabs>
            <w:rPr>
              <w:b w:val="false"/>
              <w:caps w:val="false"/>
              <w:smallCaps w:val="false"/>
              <w:lang w:val="en-CA"/>
            </w:rPr>
          </w:pPr>
          <w:r>
            <w:rPr>
              <w:u w:val="none"/>
              <w:lang w:val="en-CA"/>
            </w:rPr>
            <w:t>7.</w:t>
          </w:r>
          <w:r>
            <w:rPr>
              <w:b w:val="false"/>
              <w:caps w:val="false"/>
              <w:smallCaps w:val="false"/>
              <w:lang w:val="en-CA"/>
            </w:rPr>
            <w:tab/>
          </w:r>
          <w:r>
            <w:rPr>
              <w:u w:val="none"/>
              <w:lang w:val="en-CA"/>
            </w:rPr>
            <w:t>ITCS  (Yap)</w:t>
          </w:r>
          <w:r>
            <w:rPr>
              <w:lang w:val="en-CA"/>
            </w:rPr>
            <w:tab/>
          </w:r>
          <w:hyperlink w:anchor="__RefHeading___Toc483408734">
            <w:r>
              <w:rPr>
                <w:rStyle w:val="IndexLink"/>
                <w:lang w:val="en-CA"/>
              </w:rPr>
              <w:t>43</w:t>
            </w:r>
          </w:hyperlink>
        </w:p>
        <w:p>
          <w:pPr>
            <w:pStyle w:val="TOC1"/>
            <w:tabs>
              <w:tab w:val="clear" w:pos="720"/>
              <w:tab w:val="left" w:pos="1200" w:leader="none"/>
              <w:tab w:val="right" w:pos="8630" w:leader="dot"/>
            </w:tabs>
            <w:ind w:hanging="540" w:start="1260" w:end="0"/>
            <w:rPr>
              <w:b w:val="false"/>
              <w:caps w:val="false"/>
              <w:smallCaps w:val="false"/>
              <w:lang w:val="en-CA"/>
            </w:rPr>
          </w:pPr>
          <w:r>
            <w:rPr>
              <w:u w:val="none"/>
              <w:lang w:val="en-CA"/>
            </w:rPr>
            <w:t>8.</w:t>
          </w:r>
          <w:r>
            <w:rPr>
              <w:b w:val="false"/>
              <w:caps w:val="false"/>
              <w:smallCaps w:val="false"/>
              <w:lang w:val="en-CA"/>
            </w:rPr>
            <w:tab/>
          </w:r>
          <w:r>
            <w:rPr>
              <w:u w:val="none"/>
              <w:lang w:val="en-CA"/>
            </w:rPr>
            <w:t>The CSA Information Disclosure Requirements Fail to Comply with the California Public Utilities Code, the Commission's Existing Rules, and D.99-07-015.  (Florio)</w:t>
          </w:r>
          <w:r>
            <w:rPr>
              <w:lang w:val="en-CA"/>
            </w:rPr>
            <w:tab/>
          </w:r>
          <w:hyperlink w:anchor="__RefHeading___Toc483408735">
            <w:r>
              <w:rPr>
                <w:rStyle w:val="IndexLink"/>
                <w:lang w:val="en-CA"/>
              </w:rPr>
              <w:t>43</w:t>
            </w:r>
          </w:hyperlink>
        </w:p>
        <w:p>
          <w:pPr>
            <w:pStyle w:val="TOC2"/>
            <w:tabs>
              <w:tab w:val="clear" w:pos="720"/>
              <w:tab w:val="left" w:pos="1680" w:leader="none"/>
              <w:tab w:val="right" w:pos="8630" w:leader="dot"/>
            </w:tabs>
            <w:ind w:hanging="750" w:start="1710" w:end="0"/>
            <w:rPr/>
          </w:pPr>
          <w:r>
            <w:rPr>
              <w:u w:val="none"/>
              <w:lang w:val="en-CA"/>
            </w:rPr>
            <w:t>8.1.</w:t>
          </w:r>
          <w:r>
            <w:rPr>
              <w:caps w:val="false"/>
              <w:smallCaps w:val="false"/>
              <w:lang w:val="en-CA"/>
            </w:rPr>
            <w:tab/>
          </w:r>
          <w:r>
            <w:rPr>
              <w:u w:val="none"/>
              <w:lang w:val="en-CA"/>
            </w:rPr>
            <w:t>Making Real-Time Usage Information Available</w:t>
          </w:r>
        </w:p>
        <w:p>
          <w:pPr>
            <w:pStyle w:val="TOC2"/>
            <w:tabs>
              <w:tab w:val="clear" w:pos="720"/>
              <w:tab w:val="left" w:pos="1680" w:leader="none"/>
              <w:tab w:val="right" w:pos="8630" w:leader="dot"/>
            </w:tabs>
            <w:ind w:hanging="750" w:start="1710" w:end="0"/>
            <w:rPr>
              <w:caps w:val="false"/>
              <w:smallCaps w:val="false"/>
              <w:lang w:val="en-CA"/>
            </w:rPr>
          </w:pPr>
          <w:r>
            <w:rPr>
              <w:u w:val="none"/>
              <w:lang w:val="en-CA"/>
            </w:rPr>
            <w:t xml:space="preserve"> </w:t>
          </w:r>
          <w:r>
            <w:rPr>
              <w:u w:val="none"/>
              <w:lang w:val="en-CA"/>
            </w:rPr>
            <w:tab/>
            <w:t>to Customers.</w:t>
          </w:r>
          <w:r>
            <w:rPr>
              <w:lang w:val="en-CA"/>
            </w:rPr>
            <w:tab/>
          </w:r>
          <w:hyperlink w:anchor="__RefHeading___Toc483408736">
            <w:r>
              <w:rPr>
                <w:rStyle w:val="IndexLink"/>
                <w:lang w:val="en-CA"/>
              </w:rPr>
              <w:t>44</w:t>
            </w:r>
          </w:hyperlink>
        </w:p>
        <w:p>
          <w:pPr>
            <w:pStyle w:val="TOC2"/>
            <w:tabs>
              <w:tab w:val="clear" w:pos="720"/>
              <w:tab w:val="left" w:pos="1680" w:leader="none"/>
              <w:tab w:val="right" w:pos="8630" w:leader="dot"/>
            </w:tabs>
            <w:ind w:hanging="750" w:start="1710" w:end="0"/>
            <w:rPr>
              <w:caps w:val="false"/>
              <w:smallCaps w:val="false"/>
              <w:lang w:val="en-CA"/>
            </w:rPr>
          </w:pPr>
          <w:r>
            <w:rPr>
              <w:u w:val="none"/>
              <w:lang w:val="en-CA"/>
            </w:rPr>
            <w:t>8.2.</w:t>
          </w:r>
          <w:r>
            <w:rPr>
              <w:caps w:val="false"/>
              <w:smallCaps w:val="false"/>
              <w:lang w:val="en-CA"/>
            </w:rPr>
            <w:tab/>
            <w:tab/>
          </w:r>
          <w:r>
            <w:rPr>
              <w:u w:val="none"/>
              <w:lang w:val="en-CA"/>
            </w:rPr>
            <w:t>Provide Greater Disclosure of the Details about Market Transactions.</w:t>
          </w:r>
          <w:r>
            <w:rPr>
              <w:lang w:val="en-CA"/>
            </w:rPr>
            <w:tab/>
          </w:r>
          <w:hyperlink w:anchor="__RefHeading___Toc483408737">
            <w:r>
              <w:rPr>
                <w:rStyle w:val="IndexLink"/>
                <w:lang w:val="en-CA"/>
              </w:rPr>
              <w:t>44</w:t>
            </w:r>
          </w:hyperlink>
        </w:p>
        <w:p>
          <w:pPr>
            <w:pStyle w:val="TOC2"/>
            <w:tabs>
              <w:tab w:val="clear" w:pos="720"/>
              <w:tab w:val="left" w:pos="1680" w:leader="none"/>
              <w:tab w:val="right" w:pos="8630" w:leader="dot"/>
            </w:tabs>
            <w:rPr>
              <w:caps w:val="false"/>
              <w:smallCaps w:val="false"/>
              <w:lang w:val="en-CA"/>
            </w:rPr>
          </w:pPr>
          <w:r>
            <w:rPr>
              <w:u w:val="none"/>
              <w:lang w:val="en-CA"/>
            </w:rPr>
            <w:t>8.3.</w:t>
          </w:r>
          <w:r>
            <w:rPr>
              <w:caps w:val="false"/>
              <w:smallCaps w:val="false"/>
              <w:lang w:val="en-CA"/>
            </w:rPr>
            <w:tab/>
          </w:r>
          <w:r>
            <w:rPr>
              <w:u w:val="none"/>
              <w:lang w:val="en-CA"/>
            </w:rPr>
            <w:t>Secondary Market Trading through EBB.</w:t>
          </w:r>
          <w:r>
            <w:rPr>
              <w:lang w:val="en-CA"/>
            </w:rPr>
            <w:tab/>
          </w:r>
          <w:hyperlink w:anchor="__RefHeading___Toc483408738">
            <w:r>
              <w:rPr>
                <w:rStyle w:val="IndexLink"/>
                <w:lang w:val="en-CA"/>
              </w:rPr>
              <w:t>46</w:t>
            </w:r>
          </w:hyperlink>
        </w:p>
        <w:p>
          <w:pPr>
            <w:pStyle w:val="TOC2"/>
            <w:tabs>
              <w:tab w:val="clear" w:pos="720"/>
              <w:tab w:val="left" w:pos="1680" w:leader="none"/>
              <w:tab w:val="right" w:pos="8630" w:leader="dot"/>
            </w:tabs>
            <w:ind w:hanging="750" w:start="1710" w:end="0"/>
            <w:rPr>
              <w:caps w:val="false"/>
              <w:smallCaps w:val="false"/>
              <w:lang w:val="en-CA"/>
            </w:rPr>
          </w:pPr>
          <w:r>
            <w:rPr>
              <w:u w:val="none"/>
              <w:lang w:val="en-CA"/>
            </w:rPr>
            <w:t>8.4.</w:t>
          </w:r>
          <w:r>
            <w:rPr>
              <w:caps w:val="false"/>
              <w:smallCaps w:val="false"/>
              <w:lang w:val="en-CA"/>
            </w:rPr>
            <w:tab/>
          </w:r>
          <w:r>
            <w:rPr>
              <w:u w:val="none"/>
              <w:lang w:val="en-CA"/>
            </w:rPr>
            <w:t>Provide System Information upon which the Utilities Make Their Operating Decisions.</w:t>
          </w:r>
          <w:r>
            <w:rPr>
              <w:lang w:val="en-CA"/>
            </w:rPr>
            <w:tab/>
          </w:r>
          <w:hyperlink w:anchor="__RefHeading___Toc483408739">
            <w:r>
              <w:rPr>
                <w:rStyle w:val="IndexLink"/>
                <w:lang w:val="en-CA"/>
              </w:rPr>
              <w:t>46</w:t>
            </w:r>
          </w:hyperlink>
        </w:p>
        <w:p>
          <w:pPr>
            <w:pStyle w:val="TOC1"/>
            <w:tabs>
              <w:tab w:val="clear" w:pos="720"/>
              <w:tab w:val="left" w:pos="1200" w:leader="none"/>
              <w:tab w:val="right" w:pos="8630" w:leader="dot"/>
            </w:tabs>
            <w:rPr>
              <w:b w:val="false"/>
              <w:caps w:val="false"/>
              <w:smallCaps w:val="false"/>
              <w:lang w:val="en-CA"/>
            </w:rPr>
          </w:pPr>
          <w:r>
            <w:rPr>
              <w:u w:val="none"/>
              <w:lang w:val="en-CA"/>
            </w:rPr>
            <w:t>9.</w:t>
          </w:r>
          <w:r>
            <w:rPr>
              <w:b w:val="false"/>
              <w:caps w:val="false"/>
              <w:smallCaps w:val="false"/>
              <w:lang w:val="en-CA"/>
            </w:rPr>
            <w:tab/>
          </w:r>
          <w:r>
            <w:rPr>
              <w:u w:val="none"/>
              <w:lang w:val="en-CA"/>
            </w:rPr>
            <w:t>Implementation Costs (Yap)</w:t>
          </w:r>
          <w:r>
            <w:rPr>
              <w:lang w:val="en-CA"/>
            </w:rPr>
            <w:tab/>
          </w:r>
          <w:hyperlink w:anchor="__RefHeading___Toc483408740">
            <w:r>
              <w:rPr>
                <w:rStyle w:val="IndexLink"/>
                <w:lang w:val="en-CA"/>
              </w:rPr>
              <w:t>46</w:t>
            </w:r>
          </w:hyperlink>
        </w:p>
        <w:p>
          <w:pPr>
            <w:pStyle w:val="TOC1"/>
            <w:tabs>
              <w:tab w:val="clear" w:pos="720"/>
              <w:tab w:val="left" w:pos="1440" w:leader="none"/>
              <w:tab w:val="right" w:pos="8630" w:leader="dot"/>
            </w:tabs>
            <w:rPr>
              <w:b w:val="false"/>
              <w:caps w:val="false"/>
              <w:smallCaps w:val="false"/>
              <w:lang w:val="en-CA"/>
            </w:rPr>
          </w:pPr>
          <w:r>
            <w:rPr>
              <w:u w:val="none"/>
              <w:lang w:val="en-CA"/>
            </w:rPr>
            <w:t>10.</w:t>
          </w:r>
          <w:r>
            <w:rPr>
              <w:b w:val="false"/>
              <w:caps w:val="false"/>
              <w:smallCaps w:val="false"/>
              <w:lang w:val="en-CA"/>
            </w:rPr>
            <w:tab/>
          </w:r>
          <w:r>
            <w:rPr>
              <w:u w:val="none"/>
              <w:lang w:val="en-CA"/>
            </w:rPr>
            <w:t>Timing Issues (Florio)</w:t>
          </w:r>
          <w:r>
            <w:rPr>
              <w:lang w:val="en-CA"/>
            </w:rPr>
            <w:tab/>
          </w:r>
          <w:hyperlink w:anchor="__RefHeading___Toc483408741">
            <w:r>
              <w:rPr>
                <w:rStyle w:val="IndexLink"/>
                <w:lang w:val="en-CA"/>
              </w:rPr>
              <w:t>47</w:t>
            </w:r>
          </w:hyperlink>
        </w:p>
        <w:p>
          <w:pPr>
            <w:pStyle w:val="TOC2"/>
            <w:tabs>
              <w:tab w:val="clear" w:pos="720"/>
              <w:tab w:val="left" w:pos="1920" w:leader="none"/>
              <w:tab w:val="right" w:pos="8630" w:leader="dot"/>
            </w:tabs>
            <w:rPr>
              <w:caps w:val="false"/>
              <w:smallCaps w:val="false"/>
              <w:lang w:val="en-CA"/>
            </w:rPr>
          </w:pPr>
          <w:r>
            <w:rPr>
              <w:u w:val="none"/>
              <w:lang w:val="en-CA"/>
            </w:rPr>
            <w:t>10.1.</w:t>
          </w:r>
          <w:r>
            <w:rPr>
              <w:caps w:val="false"/>
              <w:smallCaps w:val="false"/>
              <w:lang w:val="en-CA"/>
            </w:rPr>
            <w:tab/>
          </w:r>
          <w:r>
            <w:rPr>
              <w:u w:val="none"/>
              <w:lang w:val="en-CA"/>
            </w:rPr>
            <w:t>Timetable for Implementing the CSA</w:t>
          </w:r>
          <w:r>
            <w:rPr>
              <w:lang w:val="en-CA"/>
            </w:rPr>
            <w:tab/>
          </w:r>
          <w:hyperlink w:anchor="__RefHeading___Toc483408742">
            <w:r>
              <w:rPr>
                <w:rStyle w:val="IndexLink"/>
                <w:lang w:val="en-CA"/>
              </w:rPr>
              <w:t>47</w:t>
            </w:r>
          </w:hyperlink>
        </w:p>
        <w:p>
          <w:pPr>
            <w:pStyle w:val="TOC2"/>
            <w:tabs>
              <w:tab w:val="clear" w:pos="720"/>
              <w:tab w:val="left" w:pos="1920" w:leader="none"/>
              <w:tab w:val="right" w:pos="8630" w:leader="dot"/>
            </w:tabs>
            <w:ind w:hanging="1020" w:start="1980" w:end="0"/>
            <w:rPr>
              <w:lang w:val="en-CA"/>
            </w:rPr>
          </w:pPr>
          <w:r>
            <w:rPr>
              <w:caps w:val="false"/>
              <w:smallCaps w:val="false"/>
              <w:u w:val="none"/>
              <w:lang w:val="en-CA"/>
            </w:rPr>
            <w:t>10.2.</w:t>
          </w:r>
          <w:r>
            <w:rPr>
              <w:caps w:val="false"/>
              <w:smallCaps w:val="false"/>
              <w:lang w:val="en-CA"/>
            </w:rPr>
            <w:tab/>
          </w:r>
          <w:r>
            <w:rPr>
              <w:caps w:val="false"/>
              <w:smallCaps w:val="false"/>
              <w:u w:val="none"/>
              <w:lang w:val="en-CA"/>
            </w:rPr>
            <w:t>Scheduling for Mid-Term and Post-Term BCAP and PBR Proceedings</w:t>
          </w:r>
          <w:r>
            <w:rPr>
              <w:caps w:val="false"/>
              <w:smallCaps w:val="false"/>
              <w:lang w:val="en-CA"/>
            </w:rPr>
            <w:tab/>
          </w:r>
          <w:hyperlink w:anchor="__RefHeading___Toc483408743">
            <w:r>
              <w:rPr>
                <w:rStyle w:val="IndexLink"/>
                <w:caps w:val="false"/>
                <w:smallCaps w:val="false"/>
                <w:lang w:val="en-CA"/>
              </w:rPr>
              <w:t>48</w:t>
            </w:r>
          </w:hyperlink>
          <w:r>
            <w:rPr>
              <w:rStyle w:val="IndexLink"/>
              <w:smallCaps w:val="false"/>
              <w:caps w:val="false"/>
              <w:lang w:val="en-CA"/>
            </w:rPr>
            <w:fldChar w:fldCharType="end"/>
          </w:r>
        </w:p>
      </w:sdtContent>
    </w:sdt>
    <w:p>
      <w:pPr>
        <w:sectPr>
          <w:headerReference w:type="default" r:id="rId2"/>
          <w:footerReference w:type="default" r:id="rId3"/>
          <w:type w:val="nextPage"/>
          <w:pgSz w:w="12240" w:h="15840"/>
          <w:pgMar w:left="1800" w:right="1800" w:gutter="0" w:header="720" w:top="1440" w:footer="720" w:bottom="1440"/>
          <w:lnNumType w:countBy="1" w:restart="newPage" w:distance="283"/>
          <w:pgNumType w:start="1" w:fmt="decimal"/>
          <w:formProt w:val="false"/>
          <w:textDirection w:val="lrTb"/>
          <w:docGrid w:type="default" w:linePitch="360" w:charSpace="0"/>
        </w:sectPr>
        <w:pStyle w:val="Heading"/>
        <w:rPr>
          <w:smallCaps/>
          <w:lang w:val="en-CA"/>
        </w:rPr>
      </w:pPr>
      <w:r>
        <w:rPr>
          <w:smallCaps/>
          <w:lang w:val="en-CA"/>
        </w:rPr>
      </w:r>
    </w:p>
    <w:p>
      <w:pPr>
        <w:pStyle w:val="Heading"/>
        <w:rPr/>
      </w:pPr>
      <w:r>
        <w:rPr/>
        <w:t xml:space="preserve">Rebuttal Testimony of Michel Peter Florio, </w:t>
      </w:r>
    </w:p>
    <w:p>
      <w:pPr>
        <w:pStyle w:val="Heading"/>
        <w:rPr/>
      </w:pPr>
      <w:r>
        <w:rPr/>
        <w:t>James Weil, and Catherine E. Yap</w:t>
      </w:r>
    </w:p>
    <w:p>
      <w:pPr>
        <w:pStyle w:val="Heading"/>
        <w:rPr/>
      </w:pPr>
      <w:r>
        <w:rPr/>
        <w:t>In Response to the Comprehensive Settlement Agreement</w:t>
      </w:r>
    </w:p>
    <w:p>
      <w:pPr>
        <w:pStyle w:val="Heading"/>
        <w:rPr/>
      </w:pPr>
      <w:r>
        <w:rPr/>
        <w:t>R.99-07-003</w:t>
      </w:r>
    </w:p>
    <w:p>
      <w:pPr>
        <w:pStyle w:val="TOC1"/>
        <w:rPr/>
      </w:pPr>
      <w:r>
        <w:rPr/>
      </w:r>
    </w:p>
    <w:p>
      <w:pPr>
        <w:pStyle w:val="Heading1"/>
        <w:ind w:firstLine="720" w:start="0"/>
        <w:rPr/>
      </w:pPr>
      <w:bookmarkStart w:id="0" w:name="__RefHeading___Toc483408686"/>
      <w:bookmarkEnd w:id="0"/>
      <w:r>
        <w:rPr/>
        <w:t>Introduction and Summary  (Florio)</w:t>
      </w:r>
    </w:p>
    <w:p>
      <w:pPr>
        <w:pStyle w:val="Heading2"/>
        <w:ind w:firstLine="720" w:start="0"/>
        <w:rPr/>
      </w:pPr>
      <w:bookmarkStart w:id="1" w:name="__RefHeading___Toc483408687"/>
      <w:r>
        <w:rPr/>
        <w:t>Overview of the Testimony.</w:t>
      </w:r>
      <w:bookmarkEnd w:id="1"/>
      <w:r>
        <w:rPr/>
        <w:t xml:space="preserve">  </w:t>
      </w:r>
    </w:p>
    <w:p>
      <w:pPr>
        <w:pStyle w:val="Normal"/>
        <w:rPr/>
      </w:pPr>
      <w:r>
        <w:rPr/>
        <w:t xml:space="preserve">This rebuttal testimony is presented by witnesses Michel Peter Florio, James Weil, and Catherine E. Yap.  The qualifications of each of the witnesses were attached to the Direct Testimony of Michel Peter Florio, James Weil, and Catherine E. Yap in Support of the Post-Interim Settlement Agreement, which was served previously in this proceeding.  The name of the witness sponsoring each section of this rebuttal testimony is identified in the title of that section, as well as in the table of contents.  </w:t>
      </w:r>
    </w:p>
    <w:p>
      <w:pPr>
        <w:pStyle w:val="Normal"/>
        <w:rPr/>
      </w:pPr>
      <w:r>
        <w:rPr/>
        <w:t>This rebuttal testimony responds to the Comprehensive Settlement Agreement (“CSA”) and the direct testimony submitted in support of that agreement by Southern California Gas Company (“SoCalGas”) and other parties.  Immediately following this summary, the balance of Section 1 will provide an overview of the key differences between the CSA and the Interim Settlement/Post-Interim Settlement Agreement (“IS/PI”).  Thereafter, Section 2 will address transmission-related issues, Section 3 will address storage-related issues, Section 4 will address load-balancing issues, Section 5 will address the Wheeler Ridge Access Agreements, Section 6 will address unbundling for CATs, Section 7 will address ITCS-related issues, Section 8 will address information-related issues, Section 9 will address implementation costs, and Section 10 will address the timetable.</w:t>
      </w:r>
    </w:p>
    <w:p>
      <w:pPr>
        <w:pStyle w:val="Heading2"/>
        <w:ind w:firstLine="720" w:start="0"/>
        <w:rPr/>
      </w:pPr>
      <w:bookmarkStart w:id="2" w:name="__RefHeading___Toc483408688"/>
      <w:bookmarkEnd w:id="2"/>
      <w:r>
        <w:rPr/>
        <w:t>Vision for Structuring and Regulating the Utility:  Two World Views</w:t>
      </w:r>
    </w:p>
    <w:p>
      <w:pPr>
        <w:pStyle w:val="Normal"/>
        <w:rPr/>
      </w:pPr>
      <w:r>
        <w:rPr/>
        <w:t xml:space="preserve">While the CSA and the IS/PI have many common features, they nonetheless reflect two fundamentally different worldviews regarding the future structure of the natural gas industry, the goals of regulation, and the needs of natural gas customers.  The CSA is clearly a marketer-driven document.  Its essential features reflect the longstanding views of the middlemen and other competitors who seek to fundamentally change the historic relationship between the regulated utility and its customers.  Aside from the Office of Ratepayer Advocates (“ORA”), only a very limited subset of end-use customers supports the CSA, </w:t>
      </w:r>
      <w:r>
        <w:rPr>
          <w:i/>
        </w:rPr>
        <w:t>i.e</w:t>
      </w:r>
      <w:r>
        <w:rPr/>
        <w:t xml:space="preserve">. high load factor noncore industrial and cogeneration customers such as the California Industrial Group and California Manufacturers Association (“CIG/CMA”), California Cogeneration Council (“CCC”), and Watson Cogeneration.  This is not surprising, as the CSA is </w:t>
      </w:r>
      <w:r>
        <w:rPr>
          <w:u w:val="single"/>
        </w:rPr>
        <w:t>not</w:t>
      </w:r>
      <w:r>
        <w:rPr/>
        <w:t xml:space="preserve"> a customer-friendly document for end-users other than those who already rely on marketers to provide their service and/or consume gas on a steady day-in, day-out basis, with little demand fluctuation.  </w:t>
      </w:r>
    </w:p>
    <w:p>
      <w:pPr>
        <w:pStyle w:val="Normal"/>
        <w:rPr/>
      </w:pPr>
      <w:r>
        <w:rPr/>
        <w:t xml:space="preserve">The IS/PI, on the other hand, is entirely customer-driven.  Indeed, all of its supporters are end-use consumers or consumer representatives.  Moreover, the sponsors of the IS/PI range from the largest to the smallest customers on the system.  These parties seek to preserve the truly valuable elements of the traditional utility model, which provided for the operation of an integrated system that took advantage of the diversity of customer requirements to provide service that was less costly overall than the individual groups of customers could hope to achieve by going their own way.  The sponsors of the IS/PI hope that this Commission will strongly consider the views of consumers in deciding how to restructure (or not) the natural gas industry in southern California.  </w:t>
      </w:r>
    </w:p>
    <w:p>
      <w:pPr>
        <w:pStyle w:val="Heading2"/>
        <w:ind w:firstLine="720" w:start="0"/>
        <w:rPr/>
      </w:pPr>
      <w:bookmarkStart w:id="3" w:name="__RefHeading___Toc483408689"/>
      <w:bookmarkEnd w:id="3"/>
      <w:r>
        <w:rPr/>
        <w:t>The Customer Benefits of the IS/PI Exceed Those of the CSA, While Creating Far Less Risk.</w:t>
      </w:r>
    </w:p>
    <w:p>
      <w:pPr>
        <w:pStyle w:val="Normal"/>
        <w:rPr/>
      </w:pPr>
      <w:r>
        <w:rPr/>
        <w:t>In Exhibit 2, SoCalGas witness Lorenz summarizes what he views as the major benefits of the CSA for various types of customers (Lorenz Direct at 6-7).  We will now review those claimed benefits one by one.</w:t>
      </w:r>
    </w:p>
    <w:p>
      <w:pPr>
        <w:pStyle w:val="Normal"/>
        <w:rPr/>
      </w:pPr>
      <w:r>
        <w:rPr>
          <w:i/>
        </w:rPr>
        <w:t>Residential Core Customers</w:t>
      </w:r>
      <w:r>
        <w:rPr/>
        <w:t>:</w:t>
      </w:r>
    </w:p>
    <w:p>
      <w:pPr>
        <w:pStyle w:val="ListNumber"/>
        <w:numPr>
          <w:ilvl w:val="0"/>
          <w:numId w:val="3"/>
        </w:numPr>
        <w:ind w:hanging="432" w:start="792" w:end="0"/>
        <w:rPr/>
      </w:pPr>
      <w:r>
        <w:rPr/>
        <w:t>“</w:t>
      </w:r>
      <w:r>
        <w:rPr/>
        <w:t xml:space="preserve">These customers will benefit from the elimination of the current responsibility for noncore interstate transition cost surcharge (“ITCS”) after 2001, about an $8-10 million/year cost.”  </w:t>
      </w:r>
      <w:r>
        <w:rPr>
          <w:u w:val="single"/>
        </w:rPr>
        <w:t>The IS/PI provides this same benefit.</w:t>
      </w:r>
    </w:p>
    <w:p>
      <w:pPr>
        <w:pStyle w:val="ListNumber"/>
        <w:numPr>
          <w:ilvl w:val="0"/>
          <w:numId w:val="3"/>
        </w:numPr>
        <w:ind w:hanging="432" w:start="792" w:end="0"/>
        <w:rPr/>
      </w:pPr>
      <w:r>
        <w:rPr/>
        <w:t>“</w:t>
      </w:r>
      <w:r>
        <w:rPr/>
        <w:t xml:space="preserve">These customers will realize a $5 million/year decrease in storage costs.  The CSA also reduces the core’s reservation of inventory capacity by 15 Bcf, and eliminates the core’s current ability to make use of facilities reserved for system load balancing, so the claimed saving is illusory.”  </w:t>
      </w:r>
      <w:r>
        <w:rPr>
          <w:u w:val="single"/>
        </w:rPr>
        <w:t>The core may pay less, but it will get less, too.</w:t>
      </w:r>
    </w:p>
    <w:p>
      <w:pPr>
        <w:pStyle w:val="ListNumber"/>
        <w:numPr>
          <w:ilvl w:val="0"/>
          <w:numId w:val="3"/>
        </w:numPr>
        <w:ind w:hanging="432" w:start="792" w:end="0"/>
        <w:rPr/>
      </w:pPr>
      <w:r>
        <w:rPr/>
        <w:t>“</w:t>
      </w:r>
      <w:r>
        <w:rPr/>
        <w:t xml:space="preserve">These customers will have intrastate Backbone Transmission rights allocated to them that approximately match their interstate pipeline capacity commitments.”  </w:t>
      </w:r>
      <w:r>
        <w:rPr>
          <w:u w:val="single"/>
        </w:rPr>
        <w:t>The right to use an equivalent amount of capacity exists today.</w:t>
      </w:r>
    </w:p>
    <w:p>
      <w:pPr>
        <w:pStyle w:val="ListNumber"/>
        <w:numPr>
          <w:ilvl w:val="0"/>
          <w:numId w:val="3"/>
        </w:numPr>
        <w:ind w:hanging="432" w:start="792" w:end="0"/>
        <w:rPr/>
      </w:pPr>
      <w:r>
        <w:rPr/>
        <w:t>“</w:t>
      </w:r>
      <w:r>
        <w:rPr/>
        <w:t xml:space="preserve">These customers will benefit from secondary market sales of temporarily excess storage and intrastate “backbone” transmission capacity.  Excess storage can be bought and sold under the IS/PI.”  </w:t>
      </w:r>
      <w:r>
        <w:rPr>
          <w:u w:val="single"/>
        </w:rPr>
        <w:t>Backbone transmission need not be separately acquired today or under the IS/PI.</w:t>
      </w:r>
    </w:p>
    <w:p>
      <w:pPr>
        <w:pStyle w:val="ListNumber"/>
        <w:numPr>
          <w:ilvl w:val="0"/>
          <w:numId w:val="3"/>
        </w:numPr>
        <w:ind w:hanging="432" w:start="792" w:end="0"/>
        <w:rPr/>
      </w:pPr>
      <w:r>
        <w:rPr/>
        <w:t>“</w:t>
      </w:r>
      <w:r>
        <w:rPr/>
        <w:t xml:space="preserve">These customers will benefit from increasing core transportation agent (“CTA”) growth and service.”  </w:t>
      </w:r>
      <w:r>
        <w:rPr>
          <w:u w:val="single"/>
        </w:rPr>
        <w:t>Any such benefits are speculative at best.  Less than 1% of SoCalGas’ residential load is served by the core aggregation transportation program (“CAT”).  More likely, residential customers will bear stranded interstate capacity costs resulting from non-residential customers switching to CAT service.</w:t>
      </w:r>
    </w:p>
    <w:p>
      <w:pPr>
        <w:pStyle w:val="BodyTextIndent2"/>
        <w:numPr>
          <w:ilvl w:val="0"/>
          <w:numId w:val="0"/>
        </w:numPr>
        <w:ind w:firstLine="720" w:start="0" w:end="0"/>
        <w:rPr/>
      </w:pPr>
      <w:r>
        <w:rPr/>
        <w:t>The benefits of the IS/PI are clearly greater for residential customers.  These customers will no longer pay noncore ITCS after January 1, 2002 and will bear stranded CAT interstate capacity costs only to the extent that residential customers actually participate in that program.  The costs of the Montebello storage field, of which about 70% are currently paid by residential customers, will be removed from rates.  Moreover, there will not be the increased risk of large customers bypassing local transmission and/or distribution costs by directly connecting to “backbone” facilities—an important issue that the CSA leaves unresolved (CSA § 1.1.3.10, p.19).  Payment of stranded storage costs will cease under both the IS/PI and the CSA (as of January 1, 2003 under the IS/PI and as of April 1, 2003 under the CSA).</w:t>
      </w:r>
    </w:p>
    <w:p>
      <w:pPr>
        <w:pStyle w:val="Normal"/>
        <w:numPr>
          <w:ilvl w:val="0"/>
          <w:numId w:val="0"/>
        </w:numPr>
        <w:ind w:firstLine="720" w:start="0" w:end="0"/>
        <w:rPr>
          <w:i/>
          <w:i/>
        </w:rPr>
      </w:pPr>
      <w:r>
        <w:rPr>
          <w:i/>
        </w:rPr>
        <w:t>Core Commercial &amp;Industrial Customers</w:t>
      </w:r>
    </w:p>
    <w:p>
      <w:pPr>
        <w:pStyle w:val="ListNumber"/>
        <w:numPr>
          <w:ilvl w:val="0"/>
          <w:numId w:val="3"/>
        </w:numPr>
        <w:ind w:hanging="432" w:start="792" w:end="0"/>
        <w:rPr/>
      </w:pPr>
      <w:r>
        <w:rPr/>
        <w:t>“</w:t>
      </w:r>
      <w:r>
        <w:rPr/>
        <w:t xml:space="preserve">Unbundling of interstate capacity for CTAs will provide a 20-30 cent/dth price advantage for aggregators that will benefit CTA customers.”  </w:t>
      </w:r>
      <w:r>
        <w:rPr>
          <w:u w:val="single"/>
        </w:rPr>
        <w:t xml:space="preserve">There is no assurance that this “price advantage” will be achieved.  The CTAs will have to buy pipeline and storage capacity to replace service they no longer take through SoCalGas.  Also, there is no assurance that the supposed “price advantage” will be passed along to customers.  Even if it is, this is not a true cost saving but only a cost shift to other customers.  </w:t>
      </w:r>
    </w:p>
    <w:p>
      <w:pPr>
        <w:pStyle w:val="ListNumber"/>
        <w:numPr>
          <w:ilvl w:val="0"/>
          <w:numId w:val="3"/>
        </w:numPr>
        <w:ind w:hanging="432" w:start="792" w:end="0"/>
        <w:rPr/>
      </w:pPr>
      <w:r>
        <w:rPr/>
        <w:t>“</w:t>
      </w:r>
      <w:r>
        <w:rPr/>
        <w:t xml:space="preserve">Unbundling of storage for CTAs will provide up to a 9.7 cents/dth credit for CTAs and their customers, depending upon the cost of storage alternatives.”  </w:t>
      </w:r>
      <w:r>
        <w:rPr>
          <w:u w:val="single"/>
        </w:rPr>
        <w:t>The IS/PI unbundles about half as much storage costs, but in either case there is no assurance that the savings will be passed along.</w:t>
      </w:r>
    </w:p>
    <w:p>
      <w:pPr>
        <w:pStyle w:val="ListNumber"/>
        <w:numPr>
          <w:ilvl w:val="0"/>
          <w:numId w:val="3"/>
        </w:numPr>
        <w:ind w:hanging="432" w:start="792" w:end="0"/>
        <w:rPr/>
      </w:pPr>
      <w:r>
        <w:rPr/>
        <w:t>“</w:t>
      </w:r>
      <w:r>
        <w:rPr/>
        <w:t xml:space="preserve">Unbundled intrastate transmission capacity will allow CTAs to provide Los Angeles citygate service that may be several cents/dth below the price of California border purchases plus unbundled intrastate transmission service.”  </w:t>
      </w:r>
      <w:r>
        <w:rPr>
          <w:u w:val="single"/>
        </w:rPr>
        <w:t>Citygate service may also cost MORE than border-plus-unbundled transmission, particularly in the winter when core loads tend to be higher or if “backbone” capacity holders withhold capacity or otherwise manipulate the market.</w:t>
      </w:r>
    </w:p>
    <w:p>
      <w:pPr>
        <w:pStyle w:val="ListNumber"/>
        <w:numPr>
          <w:ilvl w:val="0"/>
          <w:numId w:val="3"/>
        </w:numPr>
        <w:ind w:hanging="432" w:start="792" w:end="0"/>
        <w:rPr/>
      </w:pPr>
      <w:r>
        <w:rPr/>
        <w:t>“</w:t>
      </w:r>
      <w:r>
        <w:rPr/>
        <w:t xml:space="preserve">These customers will also benefit from the elimination of the current responsibility for noncore ITCS after 2001, about an $8-10 million/year cost.”  </w:t>
      </w:r>
      <w:r>
        <w:rPr>
          <w:u w:val="single"/>
        </w:rPr>
        <w:t>The IS/PI provides the same benefit.</w:t>
      </w:r>
    </w:p>
    <w:p>
      <w:pPr>
        <w:pStyle w:val="Normal"/>
        <w:numPr>
          <w:ilvl w:val="0"/>
          <w:numId w:val="0"/>
        </w:numPr>
        <w:ind w:firstLine="720" w:start="0" w:end="0"/>
        <w:rPr>
          <w:i/>
          <w:i/>
        </w:rPr>
      </w:pPr>
      <w:r>
        <w:rPr>
          <w:i/>
        </w:rPr>
        <w:t>Noncore customers (including generators)</w:t>
      </w:r>
    </w:p>
    <w:p>
      <w:pPr>
        <w:pStyle w:val="ListNumber"/>
        <w:numPr>
          <w:ilvl w:val="0"/>
          <w:numId w:val="3"/>
        </w:numPr>
        <w:ind w:hanging="432" w:start="792" w:end="0"/>
        <w:rPr/>
      </w:pPr>
      <w:r>
        <w:rPr/>
        <w:t>“</w:t>
      </w:r>
      <w:r>
        <w:rPr/>
        <w:t xml:space="preserve">Even though the elimination of the core responsibility for noncore ITCS will increase these customers’ rates somewhat relative to the 1999 BCAP, they receive the quid quo pro that, over the longer-term, the stranded costs from core interstate unbundling remain with core customers.”  </w:t>
      </w:r>
      <w:r>
        <w:rPr>
          <w:u w:val="single"/>
        </w:rPr>
        <w:t>Same for the IS/PI.</w:t>
      </w:r>
    </w:p>
    <w:p>
      <w:pPr>
        <w:pStyle w:val="ListNumber"/>
        <w:numPr>
          <w:ilvl w:val="0"/>
          <w:numId w:val="3"/>
        </w:numPr>
        <w:ind w:hanging="432" w:start="792" w:end="0"/>
        <w:rPr/>
      </w:pPr>
      <w:r>
        <w:rPr/>
        <w:t>“</w:t>
      </w:r>
      <w:r>
        <w:rPr/>
        <w:t xml:space="preserve">Rate certainty is provided for transmission and storage products.”  </w:t>
      </w:r>
      <w:r>
        <w:rPr>
          <w:u w:val="single"/>
        </w:rPr>
        <w:t>But unit costs may be higher for transmission service because of demand charges and premium charges (up to 120%) for some services.  Cost may be higher for storage because there will be no cap on SoCalGas’ pricing.</w:t>
      </w:r>
    </w:p>
    <w:p>
      <w:pPr>
        <w:pStyle w:val="ListNumber"/>
        <w:numPr>
          <w:ilvl w:val="0"/>
          <w:numId w:val="3"/>
        </w:numPr>
        <w:ind w:hanging="432" w:start="792" w:end="0"/>
        <w:rPr/>
      </w:pPr>
      <w:r>
        <w:rPr/>
        <w:t>“</w:t>
      </w:r>
      <w:r>
        <w:rPr/>
        <w:t xml:space="preserve">Market power concerns are allayed through open season opportunities in both storage and transmission.”  </w:t>
      </w:r>
      <w:r>
        <w:rPr>
          <w:u w:val="single"/>
        </w:rPr>
        <w:t>But those concerns are still greater than under a regulated system with bundled cost-based rates.</w:t>
      </w:r>
    </w:p>
    <w:p>
      <w:pPr>
        <w:pStyle w:val="ListNumber"/>
        <w:numPr>
          <w:ilvl w:val="0"/>
          <w:numId w:val="3"/>
        </w:numPr>
        <w:ind w:hanging="432" w:start="792" w:end="0"/>
        <w:rPr/>
      </w:pPr>
      <w:r>
        <w:rPr/>
        <w:t>“</w:t>
      </w:r>
      <w:r>
        <w:rPr/>
        <w:t xml:space="preserve">SoCalGas’ at-risk provisions for unbundled transmission and storage ensure that they bear none of the risks and potentially realize the benefits of discounting that SoCalGas may find necessary to compete.”  </w:t>
      </w:r>
      <w:r>
        <w:rPr>
          <w:u w:val="single"/>
        </w:rPr>
        <w:t xml:space="preserve">The transmission benefit is offset by payment of demand charges rather than volumetric charges.  The IS/PI provides similar benefits with respect to storage, but without unlimited pricing discretion for SoCalGas.  </w:t>
      </w:r>
    </w:p>
    <w:p>
      <w:pPr>
        <w:pStyle w:val="ListNumber"/>
        <w:numPr>
          <w:ilvl w:val="0"/>
          <w:numId w:val="3"/>
        </w:numPr>
        <w:ind w:hanging="432" w:start="792" w:end="0"/>
        <w:rPr/>
      </w:pPr>
      <w:r>
        <w:rPr/>
        <w:t>“</w:t>
      </w:r>
      <w:r>
        <w:rPr/>
        <w:t xml:space="preserve">The balancing function is unbundled.”  </w:t>
      </w:r>
      <w:r>
        <w:rPr>
          <w:u w:val="single"/>
        </w:rPr>
        <w:t>This is not necessarily a benefit.  The loss of load diversity resulting from separate treatment of core and noncore is likely to result in more OFOs.</w:t>
      </w:r>
    </w:p>
    <w:p>
      <w:pPr>
        <w:pStyle w:val="ListNumber"/>
        <w:numPr>
          <w:ilvl w:val="0"/>
          <w:numId w:val="3"/>
        </w:numPr>
        <w:ind w:hanging="432" w:start="792" w:end="0"/>
        <w:rPr/>
      </w:pPr>
      <w:r>
        <w:rPr/>
        <w:t>“</w:t>
      </w:r>
      <w:r>
        <w:rPr/>
        <w:t xml:space="preserve">These customers will benefit from secondary market sales or purchase of excess storage and intrastate Backbone Transmission capacity or from attractive Los Angeles citygate service.”  </w:t>
      </w:r>
      <w:r>
        <w:rPr>
          <w:u w:val="single"/>
        </w:rPr>
        <w:t>The IS/PI offers the same storage benefit.  The unbundled backbone service is not necessarily a benefit given demand charges, increased transaction costs, and the potential for HIGHER citygate prices.</w:t>
      </w:r>
    </w:p>
    <w:p>
      <w:pPr>
        <w:pStyle w:val="Normal"/>
        <w:rPr/>
      </w:pPr>
      <w:r>
        <w:rPr/>
        <w:t>Further, the CSA (§ 5.5) would eliminate core subscription service, thereby removing a service option that many of the smaller noncore customers have continued to utilize.  Clearly this action will create increased risks and transaction costs for these customers, who are small in volume but plentiful by number.  Likewise, the CSA will permit SoCalGas Operations to provide hub services with SoCalGas shareholders keeping all of the revenues. Currently, and under the IS/PI, hub revenues are shared with core ratepayers through the Gas Cost Incentive Mechanism (“GCIM”).</w:t>
      </w:r>
      <w:r>
        <w:rPr>
          <w:i/>
          <w:u w:val="single"/>
        </w:rPr>
        <w:t xml:space="preserve"> </w:t>
      </w:r>
    </w:p>
    <w:p>
      <w:pPr>
        <w:pStyle w:val="BodyTextIndent2"/>
        <w:rPr/>
      </w:pPr>
      <w:r>
        <w:rPr/>
        <w:t>Overall, the CSA offers little in the way of real customer benefits beyond those already incorporated in the IS/PI.  What the CSA does do is increase customer risks and transaction costs and create an increasingly complex system, thus forcing more and more customers into the waiting arms of unregulated marketers, who will not necessarily charge any less, and may in fact charge more, than what the customers are paying today.</w:t>
      </w:r>
    </w:p>
    <w:p>
      <w:pPr>
        <w:pStyle w:val="Normal"/>
        <w:rPr/>
      </w:pPr>
      <w:r>
        <w:rPr/>
        <w:t>The CSA is built on the backs of low load factor customers.  They lose.  High load factor customers are left substantially indifferent.  The winners are SoCalGas shareholders, marketers, and an odd lot of CSA signatories, such as Calpine, Southern California Edison Company (“Edison”), and Green Mountain that take little or no service from the SoCalGas system.</w:t>
      </w:r>
    </w:p>
    <w:p>
      <w:pPr>
        <w:pStyle w:val="Heading2"/>
        <w:ind w:firstLine="720" w:start="0"/>
        <w:rPr/>
      </w:pPr>
      <w:bookmarkStart w:id="4" w:name="__RefHeading___Toc483408690"/>
      <w:bookmarkEnd w:id="4"/>
      <w:r>
        <w:rPr/>
        <w:t>The IS/PI Adopts the “Promising Options” That Will Truly Benefit Customers, But Avoids Those That Would Not.</w:t>
      </w:r>
    </w:p>
    <w:p>
      <w:pPr>
        <w:pStyle w:val="Normal"/>
        <w:rPr/>
      </w:pPr>
      <w:r>
        <w:rPr/>
        <w:t>The joint Comparison Exhibit developed by the parties and submitted to the Commission on May 5 provides a useful framework for comparing the two settlements:</w:t>
      </w:r>
    </w:p>
    <w:p>
      <w:pPr>
        <w:pStyle w:val="Normal"/>
        <w:rPr/>
      </w:pPr>
      <w:r>
        <w:rPr>
          <w:u w:val="single"/>
        </w:rPr>
        <w:t>Effective Date</w:t>
      </w:r>
      <w:r>
        <w:rPr/>
        <w:t>:  The IS/PI would actually take effect more quickly than the CSA.  Thus, important customer-driven reforms, such as pooling and liberalized imbalance trading, would be implemented sooner.  The IS/PI would then allow a period of time for adjustment and observation before considering further changes.  The CSA, on the other hand, would phase in a number of different changes over an extended period of time, thus keeping the market in a constant state of transition.  The multi-year agenda would be set in advance and does not appear to allow for adjustments in response to marketplace developments in the interim.</w:t>
      </w:r>
    </w:p>
    <w:p>
      <w:pPr>
        <w:pStyle w:val="Normal"/>
        <w:rPr/>
      </w:pPr>
      <w:r>
        <w:rPr>
          <w:u w:val="single"/>
        </w:rPr>
        <w:t>Firm Tradable Intrastate Transmission Rights and a Secondary Market</w:t>
      </w:r>
      <w:r>
        <w:rPr/>
        <w:t>:  For the reasons set forth both in our direct testimony and further below, the parties to the PI do not believe that the creation of a system of intrastate capacity rights would be beneficial to SoCalGas’ customers or provide a very good fit with the architecture of the SoCalGas system.  Accordingly, the PI rejects that option.  Simultaneously, however, the IS/PI eliminates the windowing process and establish a more stable and predictable receipt point capacity allocation system.</w:t>
      </w:r>
    </w:p>
    <w:p>
      <w:pPr>
        <w:pStyle w:val="Normal"/>
        <w:rPr/>
      </w:pPr>
      <w:r>
        <w:rPr/>
        <w:t xml:space="preserve">The CSA does adopt a scheme of firm intrastate rights, but that system does not appear to meet the Commission’s expectations for such a program.  In D.99-07-015, the Commission stated that: “The creation of firm, tradable intrastate transmission rights offers the hope of improving efficiency through value-based pricing, as well as providing individual shippers with greater certainty as to their ability to move certain quantities of gas through the pipeline system”  D.99-07-015 at 136.  The CSA does not propose value-based pricing for intrastate transmission, such that capacity would be allocated to the parties ho value it most.  Instead, the agreement sets forth a Rube Goldberg </w:t>
      </w:r>
      <w:r>
        <w:rPr>
          <w:i/>
          <w:u w:val="single"/>
        </w:rPr>
        <w:t>like</w:t>
      </w:r>
      <w:r>
        <w:rPr/>
        <w:t xml:space="preserve"> three-part open season, in which price is not a factor and term is the ultimate tiebreaker.  This system is unlikely to produce economic efficiency, and bears no resemblance to the system that is used to allocate firm transmission rights on the state’s electric transmission system.  Indeed, the CSA’s capacity allocation scheme gives new meaning to the old expression that “a camel is a horse designed by a committee.”  While the type of horse trading that produced this outcome may been an inherent part of the settlement process, it is a poor approach for achieving economic efficiency or advancing the public interest.</w:t>
      </w:r>
    </w:p>
    <w:p>
      <w:pPr>
        <w:pStyle w:val="Normal"/>
        <w:rPr/>
      </w:pPr>
      <w:r>
        <w:rPr>
          <w:u w:val="single"/>
        </w:rPr>
        <w:t>Place Utility At Risk for Unused Capacity Resources</w:t>
      </w:r>
      <w:r>
        <w:rPr/>
        <w:t>.  Both settlements place the utility at some degree of risk for recovering transmission system costs.  The IS/PI retains the current 25% shareholder risk for noncore transmission revenues, at least through the current BCAP cycle.  The CSA claims to put the utility 100% at risk for noncore “backbone” transmission costs, but in reality the introduction of demand charges and the provisions allowing the utility to charge higher prices for as-available capacity shift much of that risk back to the customers.  Both settlements put SoCalGas at risk for storage costs.</w:t>
      </w:r>
    </w:p>
    <w:p>
      <w:pPr>
        <w:pStyle w:val="Normal"/>
        <w:rPr/>
      </w:pPr>
      <w:r>
        <w:rPr>
          <w:u w:val="single"/>
        </w:rPr>
        <w:t>Develop Clear Procedure for Allocating Capacity</w:t>
      </w:r>
      <w:r>
        <w:rPr/>
        <w:t xml:space="preserve">.  As noted above, the CSA’s three-part open season for allocating “backbone” capacity is not exactly a model of clarity.  Under the IS/PI, receipt point capacity would be allocated based on upstream pipeline capacity rights unless there were multiple pipelines involved, in which case the allocation would be based on prior day flows.  This is a stable and predictable approach that avoids excessive complexity.  </w:t>
      </w:r>
    </w:p>
    <w:p>
      <w:pPr>
        <w:pStyle w:val="Normal"/>
        <w:rPr/>
      </w:pPr>
      <w:r>
        <w:rPr>
          <w:u w:val="single"/>
        </w:rPr>
        <w:t>Make Hector Road A Delivery Point</w:t>
      </w:r>
      <w:r>
        <w:rPr/>
        <w:t>.  Both settlements do this.</w:t>
      </w:r>
    </w:p>
    <w:p>
      <w:pPr>
        <w:pStyle w:val="Normal"/>
        <w:rPr/>
      </w:pPr>
      <w:r>
        <w:rPr>
          <w:u w:val="single"/>
        </w:rPr>
        <w:t>Create Firm, Tradable Storage Rights and a Secondary Market</w:t>
      </w:r>
      <w:r>
        <w:rPr/>
        <w:t>.  Both settlements create a secondary market for storage rights, although there are a few differences in the details.</w:t>
      </w:r>
    </w:p>
    <w:p>
      <w:pPr>
        <w:pStyle w:val="Normal"/>
        <w:rPr/>
      </w:pPr>
      <w:r>
        <w:rPr>
          <w:u w:val="single"/>
        </w:rPr>
        <w:t>Place Utility At Risk for Unused Storage Resources</w:t>
      </w:r>
      <w:r>
        <w:rPr/>
        <w:t>.  Both settlements do this, but with different phase-out schedules.  However, the CSA gives SoCalGas much broader pricing flexibility, which conflicts with the Commission’s observation in D.99-07-015 (at 23) that “in the absence of meaningful competition, it is not a promising option to grant SoCalGas unlimited ability to control prices and supply.”  The likely outcome of the CSA approach will be to increase the cost of storage services for customers at the same time that their need for such services will increase due to other changes proposed in the CSA.</w:t>
      </w:r>
    </w:p>
    <w:p>
      <w:pPr>
        <w:pStyle w:val="Normal"/>
        <w:rPr/>
      </w:pPr>
      <w:r>
        <w:rPr>
          <w:u w:val="single"/>
        </w:rPr>
        <w:t>Examine Structural Means for SoCalGas to Provide Balancing Services Without Drawing on Core Assets</w:t>
      </w:r>
      <w:r>
        <w:rPr/>
        <w:t xml:space="preserve">.  Both settlements would discontinue the practice of using the utility’s core portfolio of gas supplies to balance the overall system.  The CSA, however, goes a giant step further.  The CSA requires completely separate balancing of core and noncore supplies and separate core and noncore OFOs.  This approach sacrifices the traditional integrated system benefit of relying upon customer diversity to reduce overall costs.  The result will be greater demand for storage and balancing services, to the apparent delight of the utility, independent storage providers, and marketers, all of whom support this ill-conceived concept.  </w:t>
      </w:r>
    </w:p>
    <w:p>
      <w:pPr>
        <w:pStyle w:val="Normal"/>
        <w:rPr/>
      </w:pPr>
      <w:r>
        <w:rPr>
          <w:u w:val="single"/>
        </w:rPr>
        <w:t>Cost and Rate Separation for Balancing Services</w:t>
      </w:r>
      <w:r>
        <w:rPr/>
        <w:t xml:space="preserve">.  The CSA adopts an unbundled balancing service.  This is premature, given other significant reforms that could affect reliability such as the elimination of windowing and the switch to an OFO regime.  Thus, the IS/PI rejects unbundling of balancing services that could affect reliability until after the end of 2002, when the issue can be reconsidered.  </w:t>
      </w:r>
    </w:p>
    <w:p>
      <w:pPr>
        <w:pStyle w:val="Normal"/>
        <w:rPr/>
      </w:pPr>
      <w:r>
        <w:rPr>
          <w:u w:val="single"/>
        </w:rPr>
        <w:t>Electronic Trading of Imbalances</w:t>
      </w:r>
      <w:r>
        <w:rPr/>
        <w:t xml:space="preserve">.  The CSA provides for liberalized imbalance trading rules, but the CSA permits customers to take advantage of the liberalized trading only if they utilize an expensive electronic system.  The IS/PI allows for the liberalized imbalance trading rules but still permits customers to continue to trade through existing means.  </w:t>
      </w:r>
    </w:p>
    <w:p>
      <w:pPr>
        <w:pStyle w:val="Normal"/>
        <w:rPr/>
      </w:pPr>
      <w:r>
        <w:rPr>
          <w:u w:val="single"/>
        </w:rPr>
        <w:t>Separate Utility Hub Services from Procurement Function</w:t>
      </w:r>
      <w:r>
        <w:rPr/>
        <w:t xml:space="preserve">.  The CSA would restrict core hub services to the use of core assets and allow for a competing gas operations hub.  This shifts revenues from ratepayers to shareholders.  Core hub revenues would continue to flow through the GCIM, but all of the gas operations hub revenues would go to shareholders.  </w:t>
      </w:r>
    </w:p>
    <w:p>
      <w:pPr>
        <w:pStyle w:val="Normal"/>
        <w:rPr/>
      </w:pPr>
      <w:r>
        <w:rPr>
          <w:u w:val="single"/>
        </w:rPr>
        <w:t>Re-examine Utility Role in Core Procurement Once a Specified Competitor Market Share Has Been Established</w:t>
      </w:r>
      <w:r>
        <w:rPr/>
        <w:t xml:space="preserve">.  Neither settlement takes any action on this issue, although the CSA includes a promise that SoCalGas will file an application in six months to address the subject.  </w:t>
      </w:r>
    </w:p>
    <w:p>
      <w:pPr>
        <w:pStyle w:val="Normal"/>
        <w:rPr/>
      </w:pPr>
      <w:r>
        <w:rPr>
          <w:u w:val="single"/>
        </w:rPr>
        <w:t>Eliminate Core Aggregation Transportation Thresholds After Adoption of Consumer Protection Rules</w:t>
      </w:r>
      <w:r>
        <w:rPr/>
        <w:t xml:space="preserve">.  The CSA would reduce the CTA eligibility threshold to 120,000 therms per year and eliminate the 10% market cap.  The IS/PI does not address the issue one way or the other.  </w:t>
      </w:r>
    </w:p>
    <w:p>
      <w:pPr>
        <w:pStyle w:val="Normal"/>
        <w:rPr/>
      </w:pPr>
      <w:r>
        <w:rPr>
          <w:u w:val="single"/>
        </w:rPr>
        <w:t>Unbundle Utility Interstate Capacity Costs for Core Customers</w:t>
      </w:r>
      <w:r>
        <w:rPr/>
        <w:t xml:space="preserve">.  Both settlements would unbundle interstate capacity from CAT customer rates.  The IS/PI would allocate more of the stranded costs back to core aggregators, while the CSA would shift more of these costs to core procurement customers and a small amount to noncore.  </w:t>
      </w:r>
    </w:p>
    <w:p>
      <w:pPr>
        <w:pStyle w:val="Normal"/>
        <w:rPr/>
      </w:pPr>
      <w:r>
        <w:rPr>
          <w:u w:val="single"/>
        </w:rPr>
        <w:t>Unbundle Utility Storage Costs for Core Customers</w:t>
      </w:r>
      <w:r>
        <w:rPr/>
        <w:t xml:space="preserve">.  The CSA would unbundle </w:t>
      </w:r>
      <w:r>
        <w:rPr>
          <w:u w:val="single"/>
        </w:rPr>
        <w:t>all</w:t>
      </w:r>
      <w:r>
        <w:rPr/>
        <w:t xml:space="preserve"> storage costs from core transport rates charged to CATs, including the storage reservation for reliability purposes, while the IS/PI would take a more measured approach and unbundle only the non-reliability portion of core storage at this time.  </w:t>
      </w:r>
    </w:p>
    <w:p>
      <w:pPr>
        <w:pStyle w:val="Normal"/>
        <w:rPr/>
      </w:pPr>
      <w:r>
        <w:rPr>
          <w:u w:val="single"/>
        </w:rPr>
        <w:t>Eliminate Core Subscription Service</w:t>
      </w:r>
      <w:r>
        <w:rPr/>
        <w:t xml:space="preserve">.  The CSA would explicitly eliminate core subscription.  The IS/PI would not.  </w:t>
      </w:r>
    </w:p>
    <w:p>
      <w:pPr>
        <w:pStyle w:val="Normal"/>
        <w:rPr/>
      </w:pPr>
      <w:r>
        <w:rPr>
          <w:u w:val="single"/>
        </w:rPr>
        <w:t>Treat Utility Core Procurement Departments Like Any Other Utility Customer</w:t>
      </w:r>
      <w:r>
        <w:rPr/>
        <w:t xml:space="preserve">.  Both settlements would subject the utility core procurement department to essentially the same balancing rules as other customers.  </w:t>
      </w:r>
    </w:p>
    <w:p>
      <w:pPr>
        <w:pStyle w:val="Normal"/>
        <w:rPr/>
      </w:pPr>
      <w:r>
        <w:rPr>
          <w:u w:val="single"/>
        </w:rPr>
        <w:t>Information</w:t>
      </w:r>
      <w:r>
        <w:rPr/>
        <w:t xml:space="preserve">.  Both settlements would provide for the release of additional information similar to what has been agreed to for the PG&amp;E system.  </w:t>
      </w:r>
    </w:p>
    <w:p>
      <w:pPr>
        <w:pStyle w:val="Normal"/>
        <w:rPr/>
      </w:pPr>
      <w:r>
        <w:rPr>
          <w:u w:val="single"/>
        </w:rPr>
        <w:t>Revenue Cycle Services</w:t>
      </w:r>
      <w:r>
        <w:rPr/>
        <w:t xml:space="preserve">.  The CSA addresses certain issues with respect to revenue cycle services, while the IS/PI does not.  </w:t>
      </w:r>
    </w:p>
    <w:p>
      <w:pPr>
        <w:pStyle w:val="Normal"/>
        <w:rPr/>
      </w:pPr>
      <w:r>
        <w:rPr>
          <w:u w:val="single"/>
        </w:rPr>
        <w:t>Creation of Pools for Transmission</w:t>
      </w:r>
      <w:r>
        <w:rPr/>
        <w:t>.  Both settlements provide for the creation of pools on the SoCalGas system.</w:t>
      </w:r>
    </w:p>
    <w:p>
      <w:pPr>
        <w:pStyle w:val="Normal"/>
        <w:rPr/>
      </w:pPr>
      <w:r>
        <w:rPr>
          <w:u w:val="single"/>
        </w:rPr>
        <w:t>Provide for Wheeler Ridge Expansion</w:t>
      </w:r>
      <w:r>
        <w:rPr/>
        <w:t>.  The IS/PI incorporates the automatic trigger provisions from the Interim Settlement (“IS”) that would provide for an expansion of Wheeler Ridge capacity.  The CSA does not address this issue.</w:t>
      </w:r>
    </w:p>
    <w:p>
      <w:pPr>
        <w:pStyle w:val="Normal"/>
        <w:rPr/>
      </w:pPr>
      <w:r>
        <w:rPr>
          <w:u w:val="single"/>
        </w:rPr>
        <w:t>Eliminate Core Contribution to Traditional ITCS</w:t>
      </w:r>
      <w:r>
        <w:rPr/>
        <w:t xml:space="preserve">.  Both settlements would eliminate the core ITCS contribution effective January 1, 2002.  The IS/PI would put SoCalGas at risk for 25% of ITCS costs as of that date.  The CSA would not, leaving SoCalGas without an incentive to minimize the ITCS costs.  </w:t>
      </w:r>
    </w:p>
    <w:p>
      <w:pPr>
        <w:pStyle w:val="Normal"/>
        <w:rPr/>
      </w:pPr>
      <w:r>
        <w:rPr>
          <w:u w:val="single"/>
        </w:rPr>
        <w:t>Long Run Marginal Cost (“LRMC”) versus Embedded Cost Allocation</w:t>
      </w:r>
      <w:r>
        <w:rPr/>
        <w:t xml:space="preserve">.  While cost allocation issues have not been the focus of this proceeding to date, the CSA would impose a fundamental change in the Commission’s adopted cost allocation methodology by shifting from LRMC-based rates to an embedded cost allocation of transmission and storage costs.  The IS/PI does not address these types of cost allocation issues, and, therefore, would leave the LRMC methodology in place.  </w:t>
      </w:r>
    </w:p>
    <w:p>
      <w:pPr>
        <w:pStyle w:val="Normal"/>
        <w:rPr/>
      </w:pPr>
      <w:r>
        <w:rPr/>
        <w:t xml:space="preserve">As the above comparison indicates, there is a great deal of commonality between the two settlements.  However, the CSA moves further and more dramatically in the direction of additional unbundling, particularly with respect to “backbone” transmission and balancing, while the IS/PI rejects these steps at this time as contrary to the best interests of utility customers.  The two agreements thus provide the Commission with a clear choice between a more customer-friendly system (the IS/PI) or a more marketer-friendly system (the CSA).  </w:t>
      </w:r>
    </w:p>
    <w:p>
      <w:pPr>
        <w:pStyle w:val="Heading2"/>
        <w:ind w:firstLine="720" w:start="0"/>
        <w:rPr/>
      </w:pPr>
      <w:bookmarkStart w:id="5" w:name="__RefHeading___Toc483408691"/>
      <w:r>
        <w:rPr/>
        <w:t>Certain Provisions of the CSA Conflict with the IS.</w:t>
      </w:r>
      <w:bookmarkEnd w:id="5"/>
      <w:r>
        <w:rPr/>
        <w:t xml:space="preserve"> </w:t>
      </w:r>
    </w:p>
    <w:p>
      <w:pPr>
        <w:pStyle w:val="Normal"/>
        <w:rPr/>
      </w:pPr>
      <w:r>
        <w:rPr/>
        <w:t>This proceeding presents the Commission with a highly unusual situation, in that a number of parties have signed on to two conflicting settlements—the IS and the CSA.  The IS (which is incorporated as an integral part of the PI) states, at pages 18-19, that its approval would preclude implementation prior to January 1, 2003, of a number of regulatory changes, including the following:</w:t>
      </w:r>
    </w:p>
    <w:p>
      <w:pPr>
        <w:pStyle w:val="Normal"/>
        <w:numPr>
          <w:ilvl w:val="0"/>
          <w:numId w:val="4"/>
        </w:numPr>
        <w:spacing w:lineRule="auto" w:line="240" w:before="0" w:after="240"/>
        <w:ind w:hanging="360" w:start="852" w:end="0"/>
        <w:rPr/>
      </w:pPr>
      <w:r>
        <w:rPr/>
        <w:t>Establishment of a system of firm, tradable rights in SoCalGas’ intrastate transmission capacity and/or receipt point capacity;</w:t>
      </w:r>
    </w:p>
    <w:p>
      <w:pPr>
        <w:pStyle w:val="Normal"/>
        <w:numPr>
          <w:ilvl w:val="0"/>
          <w:numId w:val="4"/>
        </w:numPr>
        <w:spacing w:lineRule="auto" w:line="240" w:before="0" w:after="240"/>
        <w:ind w:hanging="360" w:start="852" w:end="0"/>
        <w:rPr/>
      </w:pPr>
      <w:r>
        <w:rPr/>
        <w:t>Unbundling of the cost of SoCalGas’ intrastate transmission system; and</w:t>
      </w:r>
    </w:p>
    <w:p>
      <w:pPr>
        <w:pStyle w:val="Normal"/>
        <w:numPr>
          <w:ilvl w:val="0"/>
          <w:numId w:val="4"/>
        </w:numPr>
        <w:spacing w:lineRule="auto" w:line="240" w:before="0" w:after="360"/>
        <w:ind w:hanging="360" w:start="850" w:end="0"/>
        <w:rPr/>
      </w:pPr>
      <w:r>
        <w:rPr/>
        <w:t>Any further unbundling of storage costs beyond that provided in the IS.</w:t>
      </w:r>
    </w:p>
    <w:p>
      <w:pPr>
        <w:pStyle w:val="Normal"/>
        <w:numPr>
          <w:ilvl w:val="0"/>
          <w:numId w:val="0"/>
        </w:numPr>
        <w:spacing w:before="0" w:after="120"/>
        <w:ind w:firstLine="720" w:start="0" w:end="0"/>
        <w:rPr/>
      </w:pPr>
      <w:r>
        <w:rPr/>
        <w:t>Similarly, the text of the IS provides, at least for the term of the 1999 SoCalGas BCAP, the following:</w:t>
      </w:r>
    </w:p>
    <w:p>
      <w:pPr>
        <w:pStyle w:val="Normal"/>
        <w:numPr>
          <w:ilvl w:val="0"/>
          <w:numId w:val="4"/>
        </w:numPr>
        <w:spacing w:lineRule="auto" w:line="240" w:before="0" w:after="240"/>
        <w:ind w:hanging="360" w:start="852" w:end="0"/>
        <w:rPr/>
      </w:pPr>
      <w:r>
        <w:rPr/>
        <w:t>The core storage capacity reservation adopted in the BCAP will be retained     (IS at 15);</w:t>
      </w:r>
    </w:p>
    <w:p>
      <w:pPr>
        <w:pStyle w:val="Normal"/>
        <w:numPr>
          <w:ilvl w:val="0"/>
          <w:numId w:val="4"/>
        </w:numPr>
        <w:spacing w:lineRule="auto" w:line="240" w:before="0" w:after="240"/>
        <w:ind w:hanging="360" w:start="852" w:end="0"/>
        <w:rPr/>
      </w:pPr>
      <w:r>
        <w:rPr/>
        <w:t xml:space="preserve">All storage capacity for minimum core service reliability will remain bundled in transportation rates charged to all core customers , regardless of their gas supplier, and CAT marketers must take and pay for their pro rate share of this core reliability storage capacity (IS at 15-16); and  </w:t>
      </w:r>
    </w:p>
    <w:p>
      <w:pPr>
        <w:pStyle w:val="Normal"/>
        <w:numPr>
          <w:ilvl w:val="0"/>
          <w:numId w:val="4"/>
        </w:numPr>
        <w:spacing w:lineRule="auto" w:line="240" w:before="0" w:after="360"/>
        <w:ind w:hanging="360" w:start="850" w:end="0"/>
        <w:rPr/>
      </w:pPr>
      <w:r>
        <w:rPr/>
        <w:t>Balancing costs shall remain bundled in transportation rates (IS at 17).</w:t>
      </w:r>
    </w:p>
    <w:p>
      <w:pPr>
        <w:pStyle w:val="BodyTextIndent2"/>
        <w:numPr>
          <w:ilvl w:val="0"/>
          <w:numId w:val="0"/>
        </w:numPr>
        <w:spacing w:before="0" w:after="120"/>
        <w:ind w:firstLine="720" w:start="0" w:end="0"/>
        <w:rPr/>
      </w:pPr>
      <w:r>
        <w:rPr/>
        <w:t>Despite these statements in the IS, a number of the same parties who signed that agreement have now agreed to the CSA.  The CSA proposes to adopt some of the very changes that the IS would preclude.  It recommends:</w:t>
      </w:r>
    </w:p>
    <w:p>
      <w:pPr>
        <w:pStyle w:val="Normal"/>
        <w:numPr>
          <w:ilvl w:val="0"/>
          <w:numId w:val="4"/>
        </w:numPr>
        <w:spacing w:lineRule="auto" w:line="240" w:before="0" w:after="240"/>
        <w:ind w:hanging="360" w:start="852" w:end="0"/>
        <w:rPr/>
      </w:pPr>
      <w:r>
        <w:rPr/>
        <w:t>The establishment of a system of firm, tradable rights in SoCalGas’ intrastate transmission capacity (CSA § 1.1.3);</w:t>
      </w:r>
    </w:p>
    <w:p>
      <w:pPr>
        <w:pStyle w:val="Normal"/>
        <w:numPr>
          <w:ilvl w:val="0"/>
          <w:numId w:val="4"/>
        </w:numPr>
        <w:spacing w:lineRule="auto" w:line="240" w:before="0" w:after="240"/>
        <w:ind w:hanging="360" w:start="852" w:end="0"/>
        <w:rPr/>
      </w:pPr>
      <w:r>
        <w:rPr/>
        <w:t xml:space="preserve"> </w:t>
      </w:r>
      <w:r>
        <w:rPr/>
        <w:t xml:space="preserve">The unbundling of the cost of SoCalGas’ intrastate transmission system (CSA § 1.1.3.2); </w:t>
      </w:r>
    </w:p>
    <w:p>
      <w:pPr>
        <w:pStyle w:val="Normal"/>
        <w:numPr>
          <w:ilvl w:val="0"/>
          <w:numId w:val="4"/>
        </w:numPr>
        <w:spacing w:lineRule="auto" w:line="240" w:before="0" w:after="240"/>
        <w:ind w:hanging="360" w:start="852" w:end="0"/>
        <w:rPr/>
      </w:pPr>
      <w:r>
        <w:rPr/>
        <w:t>The reduction of the core storage capacity reservation and the storage reservation for load balancing, with the related capacity being added to the SoCalGas’ unbundled storage service (CSA § 2.1.3.1);</w:t>
      </w:r>
    </w:p>
    <w:p>
      <w:pPr>
        <w:pStyle w:val="Normal"/>
        <w:numPr>
          <w:ilvl w:val="0"/>
          <w:numId w:val="4"/>
        </w:numPr>
        <w:spacing w:lineRule="auto" w:line="240" w:before="0" w:after="240"/>
        <w:ind w:hanging="360" w:start="852" w:end="0"/>
        <w:rPr/>
      </w:pPr>
      <w:r>
        <w:rPr/>
        <w:t xml:space="preserve">That CAT marketers be given the option to reject up to 100% of their reliability storage (CSA §5.4.4); and </w:t>
      </w:r>
    </w:p>
    <w:p>
      <w:pPr>
        <w:pStyle w:val="Normal"/>
        <w:numPr>
          <w:ilvl w:val="0"/>
          <w:numId w:val="4"/>
        </w:numPr>
        <w:spacing w:lineRule="auto" w:line="240" w:before="0" w:after="360"/>
        <w:ind w:hanging="360" w:start="850" w:end="0"/>
        <w:rPr/>
      </w:pPr>
      <w:r>
        <w:rPr/>
        <w:t>That balancing service be unbundled and made optional (CSA §3.2).</w:t>
      </w:r>
    </w:p>
    <w:p>
      <w:pPr>
        <w:pStyle w:val="Normal"/>
        <w:spacing w:before="0" w:after="120"/>
        <w:rPr/>
      </w:pPr>
      <w:r>
        <w:rPr/>
        <w:t>The CSA tiptoes around this conflict, without ever quite admitting its existence.  However, that agreement contains some language that is highly unusual, to say the least, in the context of a CPUC settlement agreement:</w:t>
      </w:r>
    </w:p>
    <w:p>
      <w:pPr>
        <w:pStyle w:val="Normal"/>
        <w:spacing w:lineRule="auto" w:line="240" w:before="0" w:after="240"/>
        <w:ind w:hanging="0" w:start="720" w:end="0"/>
        <w:rPr/>
      </w:pPr>
      <w:r>
        <w:rPr/>
        <w:t>Some of the Parties to this Settlement Agreement signed a settlement filed on December 27, 1999, in I.99-07-003 referred to as the “Interim Settlement.”  This Settlement Agreement incorporates many of the provisions of the Interim Settlement, but is more consistent with the promising options as identified by the Commission in D.99-07-015.  To the extent that the Commission finds the Interim Settlement insufficiently consistent with the promising options identified by the Commission in D.99-07-015 or otherwise finds it unacceptable, the Parties to this Settlement Agreement who signed the Interim Settlement support the full implementation of this Settlement Agreement.  (CSA § 1.12, p.7)</w:t>
      </w:r>
    </w:p>
    <w:p>
      <w:pPr>
        <w:pStyle w:val="Header"/>
        <w:tabs>
          <w:tab w:val="clear" w:pos="4320"/>
          <w:tab w:val="clear" w:pos="8640"/>
        </w:tabs>
        <w:spacing w:before="0" w:after="120"/>
        <w:rPr/>
      </w:pPr>
      <w:r>
        <w:rPr/>
        <w:t xml:space="preserve">This language seems to imply that those parties who have signed both settlements really support the IS, but that if the Commission rejects the IS, then the CSA is offered as a sort of fallback position.  However, Section 1.2 of the CSA, at page 1, states that: </w:t>
      </w:r>
    </w:p>
    <w:p>
      <w:pPr>
        <w:pStyle w:val="Header"/>
        <w:tabs>
          <w:tab w:val="clear" w:pos="4320"/>
          <w:tab w:val="clear" w:pos="8640"/>
        </w:tabs>
        <w:spacing w:lineRule="auto" w:line="240" w:before="0" w:after="240"/>
        <w:ind w:hanging="0" w:start="720" w:end="0"/>
        <w:rPr/>
      </w:pPr>
      <w:r>
        <w:rPr/>
        <w:t>Parties agree, subject to Section 1.12 of this Part I, to actively support this Settlement Agreement in I.99-07-003 and to not oppose any provision of this Settlement Agreement in any regulatory, legislative or judicial forum.</w:t>
      </w:r>
    </w:p>
    <w:p>
      <w:pPr>
        <w:pStyle w:val="Normal"/>
        <w:spacing w:before="0" w:after="120"/>
        <w:rPr/>
      </w:pPr>
      <w:r>
        <w:rPr/>
        <w:t>If these parties to the CSA support it only to the extent that the Commission finds the IS unacceptable, then why are they agreeing to actively support the CSA in this proceeding?  Any why would parties who claim to support the CSA have to pledge “to not oppose” that agreement in any other forum, if indeed they really do support it?  The Commission must ask itself whether the support for the CSA is really as broad as its proponents suggest, given that the best they seem to be able to offer is that they will “not oppose” any provision of it.  Clearly the supporters of the IS/PI do not suffer from the same kind of mixed feelings as those who have signed the CSA.</w:t>
      </w:r>
    </w:p>
    <w:p>
      <w:pPr>
        <w:pStyle w:val="Heading2"/>
        <w:ind w:firstLine="720" w:start="0"/>
        <w:rPr/>
      </w:pPr>
      <w:bookmarkStart w:id="6" w:name="__RefHeading___Toc483408692"/>
      <w:bookmarkEnd w:id="6"/>
      <w:r>
        <w:rPr/>
        <w:t>A Summary of the Objectionable Features of the CSA</w:t>
      </w:r>
    </w:p>
    <w:p>
      <w:pPr>
        <w:pStyle w:val="Normal"/>
        <w:spacing w:before="0" w:after="120"/>
        <w:ind w:firstLine="360" w:end="0"/>
        <w:rPr/>
      </w:pPr>
      <w:r>
        <w:rPr/>
        <w:t>While there are many similarities between the IS/PI and the CSA, the parties to the IS/PI are opposed to several key provisions in the CSA.  These include the following:</w:t>
      </w:r>
    </w:p>
    <w:p>
      <w:pPr>
        <w:pStyle w:val="Normal"/>
        <w:numPr>
          <w:ilvl w:val="0"/>
          <w:numId w:val="4"/>
        </w:numPr>
        <w:spacing w:lineRule="auto" w:line="240" w:before="0" w:after="240"/>
        <w:ind w:hanging="360" w:start="852" w:end="0"/>
        <w:rPr/>
      </w:pPr>
      <w:r>
        <w:rPr/>
        <w:t xml:space="preserve">The unbundling of the cost of SoCalGas’ intrastate “backbone” transmission system and the creation of a system of firm tradable rights (CSA § 1.1.3); </w:t>
      </w:r>
    </w:p>
    <w:p>
      <w:pPr>
        <w:pStyle w:val="Normal"/>
        <w:numPr>
          <w:ilvl w:val="0"/>
          <w:numId w:val="4"/>
        </w:numPr>
        <w:spacing w:lineRule="auto" w:line="240" w:before="0" w:after="240"/>
        <w:ind w:hanging="360" w:start="852" w:end="0"/>
        <w:rPr/>
      </w:pPr>
      <w:r>
        <w:rPr/>
        <w:t>The reduction of the core storage capacity reservation and the storage reservation for load balancing (CSA § 2.1.3.1);</w:t>
      </w:r>
    </w:p>
    <w:p>
      <w:pPr>
        <w:pStyle w:val="Normal"/>
        <w:numPr>
          <w:ilvl w:val="0"/>
          <w:numId w:val="4"/>
        </w:numPr>
        <w:spacing w:lineRule="auto" w:line="240" w:before="0" w:after="240"/>
        <w:ind w:hanging="360" w:start="852" w:end="0"/>
        <w:rPr/>
      </w:pPr>
      <w:r>
        <w:rPr/>
        <w:t xml:space="preserve">The further unbundling of storage costs and the increased storage pricing flexibility granted to SoCalGas (CSA§ 2.1.3); </w:t>
      </w:r>
    </w:p>
    <w:p>
      <w:pPr>
        <w:pStyle w:val="Normal"/>
        <w:numPr>
          <w:ilvl w:val="0"/>
          <w:numId w:val="4"/>
        </w:numPr>
        <w:spacing w:lineRule="auto" w:line="240" w:before="0" w:after="240"/>
        <w:ind w:hanging="360" w:start="852" w:end="0"/>
        <w:rPr/>
      </w:pPr>
      <w:r>
        <w:rPr/>
        <w:t xml:space="preserve">The failure to remove Montebello costs from base rates; </w:t>
      </w:r>
    </w:p>
    <w:p>
      <w:pPr>
        <w:pStyle w:val="Normal"/>
        <w:numPr>
          <w:ilvl w:val="0"/>
          <w:numId w:val="4"/>
        </w:numPr>
        <w:spacing w:lineRule="auto" w:line="240" w:before="0" w:after="240"/>
        <w:ind w:hanging="360" w:start="852" w:end="0"/>
        <w:rPr/>
      </w:pPr>
      <w:r>
        <w:rPr/>
        <w:t xml:space="preserve">The unbundling of load balancing service (CSA §3.2); </w:t>
      </w:r>
    </w:p>
    <w:p>
      <w:pPr>
        <w:pStyle w:val="Normal"/>
        <w:numPr>
          <w:ilvl w:val="0"/>
          <w:numId w:val="4"/>
        </w:numPr>
        <w:spacing w:lineRule="auto" w:line="240" w:before="0" w:after="240"/>
        <w:ind w:hanging="360" w:start="852" w:end="0"/>
        <w:rPr/>
      </w:pPr>
      <w:r>
        <w:rPr/>
        <w:t>The requirement for totally separate balancing of core and noncore supplies (CSA § 3.1.3);</w:t>
      </w:r>
    </w:p>
    <w:p>
      <w:pPr>
        <w:pStyle w:val="Normal"/>
        <w:numPr>
          <w:ilvl w:val="0"/>
          <w:numId w:val="4"/>
        </w:numPr>
        <w:spacing w:lineRule="auto" w:line="240" w:before="0" w:after="360"/>
        <w:ind w:hanging="360" w:start="850" w:end="0"/>
        <w:rPr/>
      </w:pPr>
      <w:r>
        <w:rPr/>
        <w:t>The forgiveness of Edison and SDG&amp;E Wheeler Ridge Access Agreements (CSA § 1.1.3.6.6);</w:t>
      </w:r>
    </w:p>
    <w:p>
      <w:pPr>
        <w:pStyle w:val="Normal"/>
        <w:numPr>
          <w:ilvl w:val="0"/>
          <w:numId w:val="4"/>
        </w:numPr>
        <w:spacing w:lineRule="auto" w:line="240" w:before="0" w:after="360"/>
        <w:ind w:hanging="360" w:start="850" w:end="0"/>
        <w:rPr/>
      </w:pPr>
      <w:r>
        <w:rPr/>
        <w:t>The excessive reallocation of core transport unbundling costs to core procurement and noncore customers (CSA § 5.3.3.5);</w:t>
      </w:r>
    </w:p>
    <w:p>
      <w:pPr>
        <w:pStyle w:val="Normal"/>
        <w:numPr>
          <w:ilvl w:val="0"/>
          <w:numId w:val="4"/>
        </w:numPr>
        <w:spacing w:lineRule="auto" w:line="240" w:before="0" w:after="360"/>
        <w:ind w:hanging="360" w:start="850" w:end="0"/>
        <w:rPr/>
      </w:pPr>
      <w:r>
        <w:rPr/>
        <w:t xml:space="preserve">The elimination of the Service Interruption Credit (“SIC”) (CSA § 1.1.3.4 and 1.5.4); </w:t>
      </w:r>
    </w:p>
    <w:p>
      <w:pPr>
        <w:pStyle w:val="Normal"/>
        <w:numPr>
          <w:ilvl w:val="0"/>
          <w:numId w:val="4"/>
        </w:numPr>
        <w:spacing w:lineRule="auto" w:line="240" w:before="0" w:after="360"/>
        <w:ind w:hanging="360" w:start="850" w:end="0"/>
        <w:rPr/>
      </w:pPr>
      <w:r>
        <w:rPr/>
        <w:t>The switch of hub revenues from ratepayers to shareholders (CSA § 4.1);</w:t>
      </w:r>
    </w:p>
    <w:p>
      <w:pPr>
        <w:pStyle w:val="Normal"/>
        <w:numPr>
          <w:ilvl w:val="0"/>
          <w:numId w:val="4"/>
        </w:numPr>
        <w:spacing w:lineRule="auto" w:line="240" w:before="0" w:after="360"/>
        <w:ind w:hanging="360" w:start="850" w:end="0"/>
        <w:rPr/>
      </w:pPr>
      <w:r>
        <w:rPr/>
        <w:t>Allowing SoCalGas to receive $2 million per year plus imbalance fees, revenues from the sale or purchase of imbalance gas, and rights trading fees to cover “implementation” costs (CSA § 1.6.1); and</w:t>
      </w:r>
    </w:p>
    <w:p>
      <w:pPr>
        <w:pStyle w:val="Normal"/>
        <w:numPr>
          <w:ilvl w:val="0"/>
          <w:numId w:val="4"/>
        </w:numPr>
        <w:spacing w:lineRule="auto" w:line="240" w:before="0" w:after="360"/>
        <w:ind w:hanging="360" w:start="850" w:end="0"/>
        <w:rPr/>
      </w:pPr>
      <w:r>
        <w:rPr/>
        <w:t>The failure to provide for the disclosure of information that is required by the Public Utilities Code and the Commission’s existing rules (CSA § 6.2).</w:t>
      </w:r>
    </w:p>
    <w:p>
      <w:pPr>
        <w:pStyle w:val="Heading1"/>
        <w:ind w:firstLine="720" w:start="0"/>
        <w:rPr/>
      </w:pPr>
      <w:bookmarkStart w:id="7" w:name="__RefHeading___Toc483408693"/>
      <w:r>
        <w:rPr/>
        <w:t>Transmission</w:t>
      </w:r>
      <w:bookmarkEnd w:id="7"/>
      <w:r>
        <w:rPr/>
        <w:t xml:space="preserve"> (Yap)</w:t>
      </w:r>
    </w:p>
    <w:p>
      <w:pPr>
        <w:pStyle w:val="Normal"/>
        <w:rPr/>
      </w:pPr>
      <w:r>
        <w:rPr/>
        <w:t xml:space="preserve">The CSA proposal to unbundle “backbone” capacity should be rejected.  It is a fatally flawed proposal that is inappropriate for the SoCalGas system and unfair to customers, particularly, low load factor customers, for the following reasons:  </w:t>
      </w:r>
    </w:p>
    <w:p>
      <w:pPr>
        <w:pStyle w:val="ListNumber"/>
        <w:numPr>
          <w:ilvl w:val="0"/>
          <w:numId w:val="2"/>
        </w:numPr>
        <w:ind w:hanging="432" w:start="792" w:end="0"/>
        <w:rPr/>
      </w:pPr>
      <w:r>
        <w:rPr/>
        <w:t>The CSA improperly designates much of SoCalGas’ local transmission grid as “backbone” while failing to achieve its claim of statewide consistency.</w:t>
      </w:r>
    </w:p>
    <w:p>
      <w:pPr>
        <w:pStyle w:val="ListNumber"/>
        <w:numPr>
          <w:ilvl w:val="0"/>
          <w:numId w:val="2"/>
        </w:numPr>
        <w:ind w:hanging="432" w:start="792" w:end="0"/>
        <w:rPr/>
      </w:pPr>
      <w:r>
        <w:rPr/>
        <w:t>The CSA shifts control of essential bottleneck facilities to unregulated third parties.</w:t>
      </w:r>
    </w:p>
    <w:p>
      <w:pPr>
        <w:pStyle w:val="ListNumber"/>
        <w:numPr>
          <w:ilvl w:val="0"/>
          <w:numId w:val="2"/>
        </w:numPr>
        <w:ind w:hanging="432" w:start="792" w:end="0"/>
        <w:rPr/>
      </w:pPr>
      <w:r>
        <w:rPr/>
        <w:t>The CSA would force customers to bear unnecessary transaction costs, needlessly creating new marketing opportunities for profit by middlemen.</w:t>
      </w:r>
    </w:p>
    <w:p>
      <w:pPr>
        <w:pStyle w:val="ListNumber"/>
        <w:numPr>
          <w:ilvl w:val="0"/>
          <w:numId w:val="2"/>
        </w:numPr>
        <w:ind w:hanging="432" w:start="792" w:end="0"/>
        <w:rPr/>
      </w:pPr>
      <w:r>
        <w:rPr/>
        <w:t>The CSA would substitute demand charges for volumetric charges, unfairly shifting risk from shareholders to customers and creating opportunities for extraordinary profits for SoCalGas that will not be shared with ratepayers.</w:t>
      </w:r>
    </w:p>
    <w:p>
      <w:pPr>
        <w:pStyle w:val="ListNumber"/>
        <w:numPr>
          <w:ilvl w:val="0"/>
          <w:numId w:val="2"/>
        </w:numPr>
        <w:ind w:hanging="432" w:start="792" w:end="0"/>
        <w:rPr/>
      </w:pPr>
      <w:r>
        <w:rPr/>
        <w:t>The CSA would harm low load factor customers by dramatically increasing their unit costs.</w:t>
      </w:r>
    </w:p>
    <w:p>
      <w:pPr>
        <w:pStyle w:val="ListNumber"/>
        <w:numPr>
          <w:ilvl w:val="0"/>
          <w:numId w:val="2"/>
        </w:numPr>
        <w:ind w:hanging="432" w:start="792" w:end="0"/>
        <w:rPr/>
      </w:pPr>
      <w:r>
        <w:rPr/>
        <w:t>The CSA would jeopardize electric generator (“EG”) reliability by imposing a price squeeze on low load factor EGs that would push them closer to closing marginal facilities and fail to give positive price signals to new entrants.</w:t>
      </w:r>
    </w:p>
    <w:p>
      <w:pPr>
        <w:pStyle w:val="ListNumber"/>
        <w:numPr>
          <w:ilvl w:val="0"/>
          <w:numId w:val="2"/>
        </w:numPr>
        <w:ind w:hanging="432" w:start="792" w:end="0"/>
        <w:rPr/>
      </w:pPr>
      <w:r>
        <w:rPr/>
        <w:t>The CSA prevents noncore customers, including EGs, from getting all of their firm capacity before allowing marketers access to the capacity rights on the system.</w:t>
      </w:r>
    </w:p>
    <w:p>
      <w:pPr>
        <w:pStyle w:val="ListNumber"/>
        <w:numPr>
          <w:ilvl w:val="0"/>
          <w:numId w:val="2"/>
        </w:numPr>
        <w:ind w:hanging="432" w:start="792" w:end="0"/>
        <w:rPr/>
      </w:pPr>
      <w:r>
        <w:rPr/>
        <w:t xml:space="preserve">The benefits of the CSA unbundling proposal can be achieved under the current system by implementing the IS. </w:t>
      </w:r>
    </w:p>
    <w:p>
      <w:pPr>
        <w:pStyle w:val="Normal"/>
        <w:rPr/>
      </w:pPr>
      <w:r>
        <w:rPr/>
        <w:t>The adverse effects of the CSA can be clearly shown through an analysis of its impact on the core, a class for which the Commission has particular concern.  Therefore, the last portion of this chapter will address this topic.</w:t>
      </w:r>
    </w:p>
    <w:p>
      <w:pPr>
        <w:pStyle w:val="Heading2"/>
        <w:ind w:firstLine="720" w:start="0"/>
        <w:rPr/>
      </w:pPr>
      <w:bookmarkStart w:id="8" w:name="__RefHeading___Toc483408694"/>
      <w:bookmarkEnd w:id="8"/>
      <w:r>
        <w:rPr/>
        <w:t>The CSA Improperly Designates Much of the Transmission System as “Backbone,” Then Fails to Achieve Statewide Consistency Despite Its Claims.  (Yap)</w:t>
      </w:r>
    </w:p>
    <w:p>
      <w:pPr>
        <w:pStyle w:val="Normal"/>
        <w:rPr/>
      </w:pPr>
      <w:r>
        <w:rPr/>
        <w:t>The supporters of the CSA claim that it is “design to promote statewide consistency by unbundling the embedded costs of the Backbone Transmission system...”  Lorenz Direct at 8.  This is simply not true.  The CSA improperly designates local transmission facilities as “backbone” in an attempt to mimic the Pacific Gas and Electric Company (“PG&amp;E”) unbundling.  Thus, the CSA compounds the error by failing to create a backbone rights scheme that is equivalent to PG&amp;E’s.</w:t>
      </w:r>
    </w:p>
    <w:p>
      <w:pPr>
        <w:pStyle w:val="Heading3"/>
        <w:ind w:firstLine="720" w:start="0"/>
        <w:rPr/>
      </w:pPr>
      <w:bookmarkStart w:id="9" w:name="__RefHeading___Toc483408695"/>
      <w:bookmarkEnd w:id="9"/>
      <w:r>
        <w:rPr/>
        <w:t>The CSA Improperly Classifies Local Transmission Facilities as “Backbone” Transmission Facilities.</w:t>
      </w:r>
    </w:p>
    <w:p>
      <w:pPr>
        <w:pStyle w:val="Normal"/>
        <w:rPr/>
      </w:pPr>
      <w:r>
        <w:rPr/>
        <w:t xml:space="preserve">Mr. Lorenz describes the “backbone” transmission system as including “those transmission facilities (including all compressor stations) whose primary purposes is receiving gas from supply points and transporting it to major load centers on the local transmission system or to underground transmission facilities.”  Prepared Direct Testimony of Latimer Lorenz for SoCalGas and SDG&amp;E in Support of the Comprehensive Settlement (“Lorenz Direct”) at 9.  He further claims that the “Backbone/Local Transmission structure is identical of that employed in Northern California…”  </w:t>
      </w:r>
      <w:r>
        <w:rPr>
          <w:i/>
        </w:rPr>
        <w:t>Id</w:t>
      </w:r>
      <w:r>
        <w:rPr/>
        <w:t xml:space="preserve">. at 10.  Yet SoCalGas’ definition of “backbone” transmission is clearly </w:t>
      </w:r>
      <w:r>
        <w:rPr>
          <w:i/>
        </w:rPr>
        <w:t>not</w:t>
      </w:r>
      <w:r>
        <w:rPr/>
        <w:t xml:space="preserve"> the same as was adopted for the PG&amp;E system in the Gas Accord.  The Gas Accord set forth PG&amp;E’s “backbone” transmission system as “an integrated high-pressure transmission system that resembles an interstate pipeline system more than a typical local distribution company (LDC) system.”  D.97-08-055, slip op., Appendix B at 1.  </w:t>
      </w:r>
    </w:p>
    <w:p>
      <w:pPr>
        <w:pStyle w:val="Normal"/>
        <w:rPr/>
      </w:pPr>
      <w:r>
        <w:rPr/>
        <w:t xml:space="preserve">The CSA improperly classifies local transmission facilities as backbone.  The only portion of SoCalGas’ system that clearly meets the Gas Accord definition of “backbone” lies in the far eastern portion of its service territory, </w:t>
      </w:r>
      <w:r>
        <w:rPr>
          <w:i/>
        </w:rPr>
        <w:t>i.e.,</w:t>
      </w:r>
      <w:r>
        <w:rPr/>
        <w:t xml:space="preserve"> the lines that run from Topock and Needles to Newberry compressor station in the north and those that run from Blythe to Moreno compressor station in the south.  SoCalGas’ system to the west of the Newberry and Moreno compressors becomes extensively networked with most of its lines moving gas in a bi-directional manner.  SoCalGas Response to SCGC Data Req. 2.3 and 2.4.  </w:t>
      </w:r>
    </w:p>
    <w:p>
      <w:pPr>
        <w:pStyle w:val="Heading3"/>
        <w:ind w:firstLine="720" w:start="0"/>
        <w:rPr/>
      </w:pPr>
      <w:bookmarkStart w:id="10" w:name="__RefHeading___Toc483408696"/>
      <w:bookmarkEnd w:id="10"/>
      <w:r>
        <w:rPr/>
        <w:t>Capacity Rights in Northern California Are Path Specific, Which Is Significantly Different than the CSA’s Proposed Receipt Point Rights.</w:t>
      </w:r>
    </w:p>
    <w:p>
      <w:pPr>
        <w:pStyle w:val="BodyTextIndent2"/>
        <w:rPr/>
      </w:pPr>
      <w:r>
        <w:rPr/>
        <w:t xml:space="preserve">The CSA supporters claim that, under the CSA, the system in southern California would be equivalent to the system in northern California.  The CSA defines “backbone” transmission rights as the “firm right to have SoCalGas receive gas at a specific receipt point and have SoCalGas redeliver the gas at any point of interconnection of its “backbone” transmission system with its local transmission system or distribution system, or to any SoCalGas storage field.”  Thus under the CSA, “backbone” transmission rights are receipt point specific, not “path” specific as is the case under PG&amp;E’s Gas Accord.  Firm “backbone” rights holders may also nominate gas to be delivered off-system at any other receipt point into the SoCalGas system…”  CSA, §1.1.3.1.  </w:t>
      </w:r>
    </w:p>
    <w:p>
      <w:pPr>
        <w:pStyle w:val="BodyTextIndent2"/>
        <w:rPr/>
      </w:pPr>
      <w:r>
        <w:rPr/>
        <w:t>As acknowledged by this section, PG&amp;E’s Gas Accord created path specific transmission rights.  Thus, on PG&amp;E’s system, rights to transmission over the Redwood Path are very different than rights to transmission over the Baja Path.  Furthermore, the cost of transmission rights over the Redwood Path is considerably greater than the costs of transmission rights over the Baja Path.  If one were to apply the CSA “backbone” rights to the PG&amp;E system, someone holding “backbone” rights would be able to move gas over either the Redwood or the Baja Paths for the same capacity payment.  Hence, the SoCalGas CSA creates a considerably different system of “backbone” rights than does the PG&amp;E Gas Accord.</w:t>
      </w:r>
    </w:p>
    <w:p>
      <w:pPr>
        <w:pStyle w:val="Heading2"/>
        <w:ind w:firstLine="720" w:start="0"/>
        <w:rPr/>
      </w:pPr>
      <w:bookmarkStart w:id="11" w:name="__RefHeading___Toc483408697"/>
      <w:bookmarkEnd w:id="11"/>
      <w:r>
        <w:rPr/>
        <w:t>Unbundling Creates Unnecessary Transaction Costs and Burdens for Customers.  (Weil)</w:t>
      </w:r>
    </w:p>
    <w:p>
      <w:pPr>
        <w:pStyle w:val="Normal"/>
        <w:rPr/>
      </w:pPr>
      <w:r>
        <w:rPr/>
        <w:t xml:space="preserve">There is a strong risk that unbundling the SoCalGas “backbone” pipeline system, a key element of the CSA, will burden customers by imposition of unnecessary transaction costs.  </w:t>
      </w:r>
    </w:p>
    <w:p>
      <w:pPr>
        <w:pStyle w:val="Heading3"/>
        <w:ind w:firstLine="720" w:start="0"/>
        <w:rPr/>
      </w:pPr>
      <w:bookmarkStart w:id="12" w:name="__RefHeading___Toc483408698"/>
      <w:r>
        <w:rPr/>
        <w:t>Opportunities for Marketers</w:t>
      </w:r>
      <w:bookmarkEnd w:id="12"/>
      <w:r>
        <w:rPr/>
        <w:t xml:space="preserve"> </w:t>
      </w:r>
    </w:p>
    <w:p>
      <w:pPr>
        <w:pStyle w:val="Normal"/>
        <w:rPr/>
      </w:pPr>
      <w:r>
        <w:rPr/>
        <w:t xml:space="preserve">Several portions of direct testimony support the notion that the CSA is a deal that favors marketers.  SoCalGas and SDG&amp;E cite opportunities for marketers and competitors.  (Direct Testimony of Latimer Lorenz, p.  7.) SoCalGas leads off its discussion of benefits associated with retail elements of the CSA by stating that it provides "for additional upstream flexibility for marketers in arranging their own supply, delivery, storage and balancing requirements…;" SoCalGas later cites the "benefits of the capacity portion of the Settlement Agreement that provide marketers additional flexibility…." (Direct Testimony of Eric Nelson, pp.  4, 6.)  GreenMountain.com, a marketer, testifies that under the CSA marketers will have increased flexibility, stating, "The Settlement will enable marketers to expand their services …."  (Direct Testimony of Richard Counihan, p.  7.)  Chevron U.S.A.  Production Company testifies that the CSA contemplates the development of a citygate market in southern California which "will provide more marketing options…." (Direct Testimony of Paul McKelvey, p.  4.) </w:t>
      </w:r>
    </w:p>
    <w:p>
      <w:pPr>
        <w:pStyle w:val="Normal"/>
        <w:rPr/>
      </w:pPr>
      <w:r>
        <w:rPr/>
        <w:t>Supporters of the CSA then conclude, as an article of faith, that opportunities for marketers will lead to customer savings.  I have not seen convincing evidence of that connection. Southwest Gas Corporation is properly concerned about "the propriety of inserting others into [the current liquid market for gas at SoCalGas receipt points] and turning control of what is an essential part of the distribution system of the utility over to unregulated third parties."  (Direct Testimony of Larry Black, pp.  12</w:t>
        <w:noBreakHyphen/>
        <w:t xml:space="preserve">13.)  </w:t>
      </w:r>
    </w:p>
    <w:p>
      <w:pPr>
        <w:pStyle w:val="Normal"/>
        <w:rPr/>
      </w:pPr>
      <w:r>
        <w:rPr/>
        <w:t xml:space="preserve">Overall customer benefits can result when two things happen.  First, unbundling might reduce or eliminate the costs of inefficient elements of utility operations, or customers might bypass unnecessary elements of bundled service.  Second, unbundling introduces transaction costs needed to reassemble gas service elements into packages that meet customer needs.  Marketers or customers themselves undertake those transaction costs.  Overall benefits are achieved if the cost reductions overtake the transaction costs.  </w:t>
      </w:r>
    </w:p>
    <w:p>
      <w:pPr>
        <w:pStyle w:val="Normal"/>
        <w:rPr/>
      </w:pPr>
      <w:r>
        <w:rPr/>
        <w:t xml:space="preserve">I see no gross inefficiencies in SoCalGas operations that require unbundling and the threat of competition to enthuse the utility to improve system efficiency.  Nor do I see substantial prospects of small customers bypassing the costs of unwanted services.  I consider residential customers to have low load factors and relatively homogeneous service needs.  Much of SoCalGas' current plant and ratemaking structure was built to meet those needs.  Finally, if customers can bypass unneeded services, current Commission and Legislative policies regarding recovery of stranded costs give me little optimism that customers as a whole will be relieved of substantial stranded costs.  The CSA offers only limited protection against assignment of stranded costs to customers.  </w:t>
      </w:r>
    </w:p>
    <w:p>
      <w:pPr>
        <w:pStyle w:val="Heading3"/>
        <w:ind w:firstLine="720" w:start="0"/>
        <w:rPr/>
      </w:pPr>
      <w:bookmarkStart w:id="13" w:name="__RefHeading___Toc483408699"/>
      <w:r>
        <w:rPr/>
        <w:t>Alternatives to “Backbone” Service</w:t>
      </w:r>
      <w:bookmarkEnd w:id="13"/>
      <w:r>
        <w:rPr/>
        <w:t xml:space="preserve"> </w:t>
      </w:r>
    </w:p>
    <w:p>
      <w:pPr>
        <w:pStyle w:val="Normal"/>
        <w:rPr/>
      </w:pPr>
      <w:r>
        <w:rPr/>
        <w:t>As Southwest Gas Corporation points out, customers have no option to choose a provider of intrastate “backbone” transmission service other than SoCalGas.  (Direct Testimony of Larry Black, p.  12.)  The SoCalGas intrastate system is more a network than a collection of paths from individual supply sources, which suggests to me that future competition for “backbone” service will be limited.  Any new individual pipeline must compete against the entire SoCalGas system, not individual high</w:t>
        <w:noBreakHyphen/>
        <w:t xml:space="preserve">cost combinations of supply and pipelines.  </w:t>
      </w:r>
    </w:p>
    <w:p>
      <w:pPr>
        <w:pStyle w:val="Heading3"/>
        <w:ind w:firstLine="720" w:start="0"/>
        <w:rPr/>
      </w:pPr>
      <w:bookmarkStart w:id="14" w:name="__RefHeading___Toc483408700"/>
      <w:r>
        <w:rPr/>
        <w:t>Potential Market Power</w:t>
      </w:r>
      <w:bookmarkEnd w:id="14"/>
      <w:r>
        <w:rPr/>
        <w:t xml:space="preserve"> </w:t>
      </w:r>
    </w:p>
    <w:p>
      <w:pPr>
        <w:pStyle w:val="Normal"/>
        <w:rPr/>
      </w:pPr>
      <w:r>
        <w:rPr/>
        <w:t xml:space="preserve">Exercise of market power can cause economic rents that have the same effect on end users as increased transaction costs.  The CSA would impose a limit of 40% on ownership of transmission capacity at any SoCalGas receipt point.  According to BP Amoco Gas &amp; Power - North America, that limit means that "before the secondary market opens up, no market participant will have gained any meaningful market power control over capacity on the SoCalGas intrastate backbone system."  (Direct Testimony of Jean Marie Zaiontz, p.  9.) </w:t>
      </w:r>
    </w:p>
    <w:p>
      <w:pPr>
        <w:pStyle w:val="Normal"/>
        <w:rPr/>
      </w:pPr>
      <w:r>
        <w:rPr/>
        <w:t xml:space="preserve">I disagree.  The CSA signatories have produced no study to support the effectiveness of the 40% cap, and the cap would allow market concentrations that are higher than levels that have distressed the Commission in similar circumstances.  </w:t>
      </w:r>
    </w:p>
    <w:p>
      <w:pPr>
        <w:pStyle w:val="Normal"/>
        <w:rPr/>
      </w:pPr>
      <w:r>
        <w:rPr/>
        <w:t>The cap would apply to receipt point capacity that is not awarded to SoCalGas' procurement department, wholesale customers or CTAs.  (CSA, §1.1.3.9, p.  19.) On a system</w:t>
        <w:noBreakHyphen/>
        <w:t xml:space="preserve">wide basis, total SoCalGas capacity is roughly 3,500 MMcf/d.  Core procurement takes about 1,000 MMcf/d, wholesale customers take about 500 MMcf/d and CTAs take about 50 MMcf/d.  Forty percent of the remaining capacity of 1,950 MMcf/d is 780 MMcf/d, or 22.3% of SoCalGas' overall capacity.  That fraction will be even higher at individual receipt points.  </w:t>
      </w:r>
    </w:p>
    <w:p>
      <w:pPr>
        <w:pStyle w:val="Normal"/>
        <w:rPr/>
      </w:pPr>
      <w:r>
        <w:rPr/>
        <w:t xml:space="preserve">As Ms. Yap has shown, the Commission has raised concerns at FERC because a single entity controls less than 20% of interstate capacity rights.  El Paso Merchant holds approximately 19.7% of the capacity into California.  (Compare 1.4 Bcf/d held by El Paso Merchant against 7.1 Bcf/d of total capacity into California; Direct Testimony of Catherine Yap, p.  14.)  I share the Commission's concern.  The 40% limit would allow two capacity owners to dominate transactions at a receipt point in the same way that SoCalGas and PG&amp;E dominate the gas market in California.  In my judgment the CSA signatories have not shown that the 40% market concentration limit is adequate to protect end users against exercise of market power.  </w:t>
      </w:r>
    </w:p>
    <w:p>
      <w:pPr>
        <w:pStyle w:val="Heading2"/>
        <w:ind w:firstLine="720" w:start="0"/>
        <w:rPr/>
      </w:pPr>
      <w:bookmarkStart w:id="15" w:name="__RefHeading___Toc483408701"/>
      <w:bookmarkEnd w:id="15"/>
      <w:r>
        <w:rPr/>
        <w:t>Unbundling May Transfer Large Quantities of Receipt Point Capacity to Marketers.  (Yap)</w:t>
      </w:r>
    </w:p>
    <w:p>
      <w:pPr>
        <w:pStyle w:val="BodyTextIndent2"/>
        <w:rPr/>
      </w:pPr>
      <w:r>
        <w:rPr/>
        <w:t xml:space="preserve">The CSA unbundled capacity rights would lead to a transfer of control over receipt points from SoCalGas to marketers.  As has been observed in PG&amp;E’s service territory, unbundling capacity rights creates substantial transaction costs, which pushes customers strongly toward using marketers to obtain services.  Marketers hold a majority of the unbundled noncore capacity on PG&amp;E’s system under the Gas Accord.  In other words, unbundling capacity rights has led to nothing more than the rebundling of those rights by marketers which are not subject to Commission jurisdiction or rate regulation.  </w:t>
      </w:r>
    </w:p>
    <w:p>
      <w:pPr>
        <w:pStyle w:val="Normal"/>
        <w:rPr/>
      </w:pPr>
      <w:r>
        <w:rPr/>
        <w:t xml:space="preserve">At the same time, the Commission has raised concerns at the FERC about the motivation and behavior of marketers in the context of interstate pipeline services.  </w:t>
      </w:r>
      <w:r>
        <w:rPr>
          <w:i/>
        </w:rPr>
        <w:t>See</w:t>
      </w:r>
      <w:r>
        <w:rPr/>
        <w:t xml:space="preserve">, RP00-241, California Public Utilities Commission v. El Paso Natural Gas Company (“Commission Complaint”), April 4, 2000.  There is no reason to believe that marketers will behave any differently in the intrastate market.  Hence, the Commission will have relinquished regulatory control without obtaining reasonable assurances that competitive abuses will not occur. </w:t>
      </w:r>
    </w:p>
    <w:p>
      <w:pPr>
        <w:pStyle w:val="Heading2"/>
        <w:ind w:firstLine="720" w:start="0"/>
        <w:rPr/>
      </w:pPr>
      <w:bookmarkStart w:id="16" w:name="__RefHeading___Toc483408702"/>
      <w:bookmarkEnd w:id="16"/>
      <w:r>
        <w:rPr/>
        <w:t>Demand Charges Shift Risk from Shareholders to Customers.  (Yap)</w:t>
      </w:r>
    </w:p>
    <w:p>
      <w:pPr>
        <w:pStyle w:val="Heading3"/>
        <w:ind w:firstLine="720" w:start="0"/>
        <w:rPr/>
      </w:pPr>
      <w:bookmarkStart w:id="17" w:name="__RefHeading___Toc483408703"/>
      <w:bookmarkEnd w:id="17"/>
      <w:r>
        <w:rPr/>
        <w:t>SoCalGas Stands to Make Extra Revenue If It Subscribes Its System Above the 79 Percent Level.</w:t>
      </w:r>
    </w:p>
    <w:p>
      <w:pPr>
        <w:pStyle w:val="Normal"/>
        <w:rPr/>
      </w:pPr>
      <w:r>
        <w:rPr/>
        <w:t xml:space="preserve">A demand charge structure shifts the risk of revenue recovery from shareholders to ratepayers.  SoCalGas only has to obtain reservations for 79 percent of its capacity under an SFV demand charge structure to obtain assurance that it will collect 100 percent of its revenue requirement.  SoCalGas is in a position to collect far more than its authorized revenue requirement if it is able to subscribe more than 79 percent of its capacity at SFV rates.  Furthermore, under the CSA, SoCalGas has excluded its “backbone” revenue requirement from the PBR revenue sharing mechanism, so if it does make more than 100 percent of its authorized revenue requirement, the shareholders keep it all.  This is in stark contrast to the risk situation that SoCalGas faced under the Global Settlement where it was at risk for the entire variation noncore revenues with an entirely volumetric rate design.  </w:t>
      </w:r>
    </w:p>
    <w:p>
      <w:pPr>
        <w:pStyle w:val="Normal"/>
        <w:rPr/>
      </w:pPr>
      <w:r>
        <w:rPr/>
        <w:t xml:space="preserve">Under the CSA, the core would subscribe at 1000 MMcf/d, which is about 75 percent of its winter peak requirement.  Since wholesale customers average about 400 MMcf/d in flowing supplies over the last few years but peaked at 670 MMcf/d in 1999, they might be expected to subscribe at about 500 MMcf/d.  1999 California Gas Report at 25, SoCalGas Response to SCGC Data Request 1.7.  If the EGs subscribe at 75 percent of their peak requirement, this adds another 1160 MMcf/d, and if they subscribe at 100 percent, this would add 1550 MMcf/d.  SoCalGas also has long-term EOR contracts that use about 110 MMcf/d in capacity.  This would represent capacity reservations between 2770 and 3160 MMcf/d, or about 79 to 90 percent </w:t>
      </w:r>
      <w:r>
        <w:rPr>
          <w:u w:val="single"/>
        </w:rPr>
        <w:t>without any</w:t>
      </w:r>
      <w:r>
        <w:rPr/>
        <w:t xml:space="preserve"> reservations made by marketers.  If EGs are unable to obtain 100 percent of their peak capacity because marketers bid away the capacity in Stage 3 of the Open Season, then SoCalGas will be fully subscribed.  </w:t>
      </w:r>
    </w:p>
    <w:p>
      <w:pPr>
        <w:pStyle w:val="Normal"/>
        <w:rPr/>
      </w:pPr>
      <w:r>
        <w:rPr/>
        <w:t xml:space="preserve">Even if all capacity reservations come in the form of the 50/50 demand/volumetric rates, SoCalGas would still stand to make a lot of extra revenue.  If SoCalGas has 79 percent of its capacity reserved, it gets 50 percent of its revenue guaranteed through demand charges and the remaining 50 percent as the volumetric throughput is achieved.  If SoCalGas has 90 or 100 percent of its capacity reserved, it has 57 to 63 percent of its revenue guaranteed with potentially another 50 percent coming in associated with the volumetric throughput.  Hence, SoCalGas can make 7 to 13 percent more revenue, even if all customers pay the 50/50 demand/volumetric rate.  If all customers were to pay SFV rates and capacity was fully subscribed, SoCalGas could make as much as 27 percent more than its authorized revenue requirement.  </w:t>
      </w:r>
    </w:p>
    <w:p>
      <w:pPr>
        <w:pStyle w:val="Heading3"/>
        <w:ind w:firstLine="720" w:start="0"/>
        <w:rPr/>
      </w:pPr>
      <w:bookmarkStart w:id="18" w:name="__RefHeading___Toc483408704"/>
      <w:bookmarkEnd w:id="18"/>
      <w:r>
        <w:rPr/>
        <w:t>The Commission Has Consistently Opposed Using SFV Demand Charges in Pipeline Ratemaking.</w:t>
      </w:r>
    </w:p>
    <w:p>
      <w:pPr>
        <w:pStyle w:val="Normal"/>
        <w:rPr/>
      </w:pPr>
      <w:r>
        <w:rPr/>
        <w:t xml:space="preserve">The Commission has vigorously opposed the use of SFV type demand charges in interstate pipeline ratemaking proceedings before the FERC.  The FERC noted the opposition of the Commission and SoCalGas to the adoption of SFV demand charge rates in the FERC’s Order 636-A, which responded to rehearing requests.  Order 636-A, RM91-11-002, slip op. at footnotes 293, 303 and at 200, 209.  </w:t>
      </w:r>
    </w:p>
    <w:p>
      <w:pPr>
        <w:pStyle w:val="Heading2"/>
        <w:ind w:firstLine="720" w:start="0"/>
        <w:rPr/>
      </w:pPr>
      <w:bookmarkStart w:id="19" w:name="__RefHeading___Toc483408705"/>
      <w:bookmarkEnd w:id="19"/>
      <w:r>
        <w:rPr/>
        <w:t>Demand Charges Raise Unit Costs</w:t>
      </w:r>
    </w:p>
    <w:p>
      <w:pPr>
        <w:pStyle w:val="Normal"/>
        <w:rPr/>
      </w:pPr>
      <w:r>
        <w:rPr/>
        <w:t xml:space="preserve">Mr. Pocta and Mr. Lorenz both claim that customers will see future rate savings because SoCalGas is placed at risk after October 2001 for the recovery of its $73.7 million per year intrastate “backbone” transmission revenue requirement.  Lorenz Direct at 11, Pocta Direct at 10.  While the CSA does eliminate balancing account coverage for “backbone” transmission costs, it does so by imposing onerous demand charges on customers.  The CSA offers two types of demand charges, a full SFV demand charge and higher 50/50 demand/volumetric rate.  Lorenz Direct at 13-14.  Pocta Direct at 9.  Even Mr. Pocta admits that the demand charge structure is onerous “from the customer’s perspective”.  </w:t>
      </w:r>
      <w:r>
        <w:rPr>
          <w:i/>
        </w:rPr>
        <w:t>Id</w:t>
      </w:r>
      <w:r>
        <w:rPr/>
        <w:t xml:space="preserve">. at 10.  </w:t>
      </w:r>
    </w:p>
    <w:p>
      <w:pPr>
        <w:pStyle w:val="Normal"/>
        <w:rPr/>
      </w:pPr>
      <w:r>
        <w:rPr/>
        <w:t xml:space="preserve">The demand charge rate structure presents a serious problem for the low load factor customers.  A customer with a load factor of 65 percent would face an increase of about 54 percent under an SFV rate design or an increase of about 34 percent under the 50/50 demand/volumetric rate design, if it were to subscribe to capacity for its full requirements.  A customer with a lower load factors, such as 30 percent, face an increase of more than three times under the SFV rate design or more than two times under the 50/50 demand/volumetric rate design.   </w:t>
      </w:r>
    </w:p>
    <w:p>
      <w:pPr>
        <w:pStyle w:val="Normal"/>
        <w:rPr/>
      </w:pPr>
      <w:r>
        <w:rPr/>
        <w:t>It is not clear that low load factor customers will be able to mitigate these sort of increases in unit costs by laying off capacity in the secondary markets.  If the PG&amp;E experience is any indication, the majority of capacity outside of the core reservation is likely to be held by marketers.  The sharp increase in transaction costs discourages even good-sized customers from obtaining their own capacity.  Therefore, the secondary markets are likely to be thinly traded and potentially controlled by marketers with complex agendas.  Marketers will certainly not have an incentive to buy secondary capacity from the same customers that they would rather sell gas to.</w:t>
      </w:r>
    </w:p>
    <w:p>
      <w:pPr>
        <w:pStyle w:val="Heading2"/>
        <w:ind w:firstLine="720" w:start="0"/>
        <w:rPr/>
      </w:pPr>
      <w:bookmarkStart w:id="20" w:name="__RefHeading___Toc483408706"/>
      <w:bookmarkEnd w:id="20"/>
      <w:r>
        <w:rPr/>
        <w:t>Demand Charges Undermine Electric Reliability by Putting a Price Squeeze on EGs.</w:t>
      </w:r>
    </w:p>
    <w:p>
      <w:pPr>
        <w:pStyle w:val="Normal"/>
        <w:rPr/>
      </w:pPr>
      <w:r>
        <w:rPr/>
        <w:t xml:space="preserve">The CSA would present EG customers with a choice of facing increased costs under SFV-style demand charges, 50/50 demand/volumetric rate design, which has been increased by a premium, or purchasing gas volumetrically from marketers who will clearly charge “what the market can bear”.  EG customers are very low load factor customers, averaging about a 30 percent load factor over the last five years.  The summer load factor for EG customers is somewhat higher, but still only about 40 percent on average for the same period.  </w:t>
      </w:r>
    </w:p>
    <w:p>
      <w:pPr>
        <w:pStyle w:val="Normal"/>
        <w:rPr/>
      </w:pPr>
      <w:r>
        <w:rPr/>
        <w:t xml:space="preserve">The unit cost of “backbone” transmission service for EG customers would rise from the 7.2-cent per dth cost-based level to nearly 24 cents per dth under the annual SFV rate design, 22 cents under the seasonal SFV rate design, or 16.5 cents per dth under the 50/50 demand/volumetric rate design.  With these kinds of rate alternatives, marketers will be able to charge generators up to about 16 cents per dth for the transportation portion of the bundled rate and still undercut their alternatives.  The Commission will have succeeded in forcing generators to pay more than twice the just and reasonable rate for transportation services through buying bundled services from unregulated entities.  </w:t>
      </w:r>
    </w:p>
    <w:p>
      <w:pPr>
        <w:pStyle w:val="Normal"/>
        <w:rPr/>
      </w:pPr>
      <w:r>
        <w:rPr/>
        <w:t>Anywhere they turn under the CSA, the EG customers face a cost increase.  If these generators opt to take a capacity reservation, they face a minimum demand charge of $0.038 per dth under the CSA.  Lorenz Direct at 14.  On average, under the 50/50 demand/volumetric rate they face potentially an 11 percent increase in their fixed costs.  Furthermore, if EG customers take on the capacity reservations, there is no assurance that they will be able to lay off their capacity during their off-peak periods and certainly not at full as-billed rates.</w:t>
      </w:r>
    </w:p>
    <w:p>
      <w:pPr>
        <w:pStyle w:val="Normal"/>
        <w:rPr/>
      </w:pPr>
      <w:r>
        <w:rPr/>
        <w:t>As explained in detail in Section 2.4 of the TURN/Aglet/SCGC Opening Testimony, the demand charge rate structure puts a price squeeze on the EG customers.  Florio/Weil/Yap Direct at 17-25.  The price squeeze arises because even though the plants’ unit operating costs are driven up, the use of demand charges prevents a price signal from being sent to the electric markets that there are higher operating costs.  Thus, electricity prices do not go up in tandem with increased unit costs for these low load factor generators.  Furthermore, increased fixed costs raise risk for investors and, hence, drive up the cost of capital for generators.  Thus, in total, the generators are made considerably less economically viable.  The price squeeze also makes new entrants less certain that they can recover their fixed costs and hence will likely slow down the entry of new generation into the market.</w:t>
      </w:r>
    </w:p>
    <w:p>
      <w:pPr>
        <w:pStyle w:val="Normal"/>
        <w:rPr/>
      </w:pPr>
      <w:r>
        <w:rPr/>
        <w:t>EG customers in the Los Angeles Basin represent about 14,000 MW of generating capacity, which represents about 28 percent of total capacity statewide.  The California Energy Commission (“CEC”) staff has raised concerns about the electric system in California under very hot weather conditions assuming that these plants all continue to operate.  CEC Staff, High Temperatures &amp; Electricity Demand: An Assessment of Supply Adequacy in California, July 1999 at 62.  The Commission’s adoption of the CSA could put at least some of this capacity at risk, creating some severe problems for the reliability of the electricity system in California.</w:t>
      </w:r>
    </w:p>
    <w:p>
      <w:pPr>
        <w:pStyle w:val="Heading2"/>
        <w:ind w:firstLine="720" w:start="0"/>
        <w:rPr/>
      </w:pPr>
      <w:bookmarkStart w:id="21" w:name="__RefHeading___Toc483408707"/>
      <w:bookmarkEnd w:id="21"/>
      <w:r>
        <w:rPr/>
        <w:t>Open Season Restrictions May Reduce Electric Reliability</w:t>
      </w:r>
    </w:p>
    <w:p>
      <w:pPr>
        <w:pStyle w:val="Normal"/>
        <w:rPr/>
      </w:pPr>
      <w:r>
        <w:rPr/>
        <w:t>The CSA imposes restrictions on the amount of capacity that can be subscribed in the first two stages of the open season.  Despite Mr. Lorenz’ claim that the “first two stages of the open season were negotiated to allay end-use customer concerns about competing against marketers for the capacity they need to meet their historic consumption,” the structure of the CSA forces EGs into doing just that.  Lorenz Direct at 13.   EGs will be unable to obtain all of the peak capacity in the customer portion of the open season that they require to ensure reliable summertime operations.</w:t>
      </w:r>
    </w:p>
    <w:p>
      <w:pPr>
        <w:pStyle w:val="Normal"/>
        <w:rPr/>
      </w:pPr>
      <w:r>
        <w:rPr/>
        <w:t>Section 1.1.3.6 make it clear that firm “backbone” rights will be awarded to CTAs and wholesale customers, in addition to SoCalGas’ Gas Acquisition Department, before any open season will be held for noncore customers.  Furthermore, special provisions have been made to allow the California producers to obtain “backbone” rights on Line 85 and North Coastal receipt point prior to any noncore open season.  Section 1.1.3.6.1 then states that only noncore customers and CTAs can participate in the first two stages of the open season to the extent of their historical load or currently contracted load, respectively.  The section, however, limits the noncore capacity reservation levels to 50 percent of the capacity remaining at any individual receipt point after the core has made its reservation.  Additionally, the section states: “Customers’ maximum bidding rights shall be determined by a formula that fairly balances seasonal and annual usage,” implying that customers will not be able to bid up to their peak needs.</w:t>
      </w:r>
    </w:p>
    <w:p>
      <w:pPr>
        <w:pStyle w:val="Normal"/>
        <w:rPr/>
      </w:pPr>
      <w:r>
        <w:rPr/>
        <w:t>The 50 percent provision alone will be likely to prevent customers, including EGs, from obtaining all of their firm capacity needs in the first two (customer) stages of the open season.  SoCalGas’ entire system capacity is 3,500 MMcf/d of which the core will take 1000 MMcf/d.  Thus, 50 percent of the remaining capacity is 1250 MMcf/d.  The peak loads of the EG class are about 1550 MMcf/d, based upon the average of the last five years.  Wholesale capacity reservations are not clear, but based upon 1999 operating data, could be at least 500 MMcf/d.  The California producers and long-term contract holders will also take a reservation of capacity at least some sections of the system as well.  The combined reservation levels above the core level could amount to more than 2,050 MMcf/d, far in excess of the 1250 MMcf/d that will be made available.  Hence, noncore customers, including EGs, will be forced to compete against marketers in the third stage of the open season for at least a portion of their capacity needs if they are to obtain capacity reservations sufficient to meet their historical usage.</w:t>
      </w:r>
    </w:p>
    <w:p>
      <w:pPr>
        <w:pStyle w:val="Normal"/>
        <w:rPr/>
      </w:pPr>
      <w:r>
        <w:rPr/>
        <w:t>Even then, the CSA appears to prevent EGs from obtaining capacity that they may need to meet their peak needs reliably.  Section 1.1.3.6 fails to include any explicit statement or explanation of the formula that “fairly balances seasonal and annual usage” in prescribing the amount of capacity a customer may bid for in the first two stages of the open season.  Such a provision may simply be used to further disadvantage EG customers because of the seasonal nature of their usage.</w:t>
      </w:r>
    </w:p>
    <w:p>
      <w:pPr>
        <w:pStyle w:val="Heading3"/>
        <w:ind w:firstLine="720" w:start="0"/>
        <w:rPr/>
      </w:pPr>
      <w:bookmarkStart w:id="22" w:name="__RefHeading___Toc483408708"/>
      <w:bookmarkEnd w:id="22"/>
      <w:r>
        <w:rPr/>
        <w:t>Secondary Markets and Interruptible Capacity Would Not Meet the Needs of Electric Generators.</w:t>
      </w:r>
    </w:p>
    <w:p>
      <w:pPr>
        <w:pStyle w:val="Normal"/>
        <w:rPr/>
      </w:pPr>
      <w:r>
        <w:rPr/>
        <w:t xml:space="preserve">Mr. Lorenz claims that “[s]ince utilization of the SoCalGas system traditionally peaks during the winter period due to high core demand, those customers who are traditionally summer peaking (such as EG customers) should have the ability to acquire Backbone Transmission capacity in the secondary market under favorable market conditions.  Conversely, those summer peaking customers who find themselves holding Backbone Transmission capacity in the winter that they are not fully utilizing should also find attractive secondary market opportunities to release that capacity.”  Lorenz Direct at 11.  </w:t>
      </w:r>
    </w:p>
    <w:p>
      <w:pPr>
        <w:pStyle w:val="Normal"/>
        <w:rPr/>
      </w:pPr>
      <w:r>
        <w:rPr/>
        <w:t xml:space="preserve">Mr. Lorenz’s claim might sound good, but it is not supported by the evidence from Northern California.  As Mr. Weil explained in his direct testimony, the capacity in Northern California is held predominantly by marketers, except for PG&amp;E’s Core Procurement department.  Prepared Direct Testimony of Michael Peter Florio, James Weil, and Catherine E. Yap (“Florio/Weil/Yap Direct”) at 12.  Therefore, except for the core, it is likely that the marketers will be the only ones who will be in a position to decide whether to sell secondary summertime capacity or to buy secondary wintertime capacity.  The core’s ability to sell summertime capacity or to purchase wintertime capacity is likely to be limited to less than 25 percent of the requirements of EG customers.  The marketers, who may well hold much of the remaining system capacity, will have an interest in </w:t>
      </w:r>
      <w:r>
        <w:rPr>
          <w:u w:val="single"/>
        </w:rPr>
        <w:t>not</w:t>
      </w:r>
      <w:r>
        <w:rPr/>
        <w:t xml:space="preserve"> selling summertime capacity and in </w:t>
      </w:r>
      <w:r>
        <w:rPr>
          <w:u w:val="single"/>
        </w:rPr>
        <w:t>not</w:t>
      </w:r>
      <w:r>
        <w:rPr/>
        <w:t xml:space="preserve"> buying wintertime capacity.  </w:t>
      </w:r>
    </w:p>
    <w:p>
      <w:pPr>
        <w:pStyle w:val="Normal"/>
        <w:rPr/>
      </w:pPr>
      <w:r>
        <w:rPr/>
        <w:t>Why should marketers sell off their summer capacity rights and make it easy for an electric generator to get its own gas supplies?  It is likely to be</w:t>
        <w:tab/>
        <w:t xml:space="preserve"> better for these marketers to sell to the generators (and other customers) at the citygate, which is what Dynegy did after it obtained a large block of capacity on the El Paso system.  </w:t>
      </w:r>
    </w:p>
    <w:p>
      <w:pPr>
        <w:pStyle w:val="Normal"/>
        <w:rPr/>
      </w:pPr>
      <w:r>
        <w:rPr/>
        <w:t>Conversely, why should marketers buy wintertime capacity from EG customers?  Marketers make money from their sales of bundled gas supplies.  They make more money from those bundled sales when capacity is constrained.  If they are the only entities available to buy brokered capacity from EG customers, they may very well decline to do so.  Letting the capacity languish on the secondary market is as good as keeping it out of circulation.  Keeping capacity out of circulation helps drive up delivered gas costs and benefit the marketers.  Thus, contrary to Mr. Lorenz, it is quite possible that EGs may be may be unable to get the extra capacity they need in the summer from the secondary market while being unable to lay off excess capacity in the winter.</w:t>
      </w:r>
    </w:p>
    <w:p>
      <w:pPr>
        <w:pStyle w:val="Heading2"/>
        <w:ind w:firstLine="720" w:start="0"/>
        <w:rPr/>
      </w:pPr>
      <w:bookmarkStart w:id="23" w:name="__RefHeading___Toc483408709"/>
      <w:bookmarkEnd w:id="23"/>
      <w:r>
        <w:rPr/>
        <w:t>The CSA Benefits Are Illusory.  (Yap)</w:t>
      </w:r>
    </w:p>
    <w:p>
      <w:pPr>
        <w:pStyle w:val="Normal"/>
        <w:rPr/>
      </w:pPr>
      <w:r>
        <w:rPr/>
        <w:t>The proponents of the CSA claim that unbundling intrastate transmission will enhance competition.  This is not true.  As demonstrated in Section 2.3.1 of the TURN/Aglet/SCGC opening testimony, there is already a well-functioning market for natural gas at the border.  Moving that market from the border to the citygate will not increase the competitiveness of that market but may instead reduce its efficiencies by eliminating slack capacity.</w:t>
      </w:r>
    </w:p>
    <w:p>
      <w:pPr>
        <w:pStyle w:val="Normal"/>
        <w:rPr/>
      </w:pPr>
      <w:r>
        <w:rPr/>
        <w:t xml:space="preserve">The CSA’s adoption of 3500 MMcf/d in unbundled “backbone” rights actually may reduce the amount of competition among gas providers.  Excess deliverability of at least 1000 MMcf/d exists in the interstate transportation system upstream of the city gate into southern California.  This excess deliverability is about 30 percent of SoCalGas’ system capability.  Therefore, creating an intrastate city gate where gas supplies trade would not assure that prices would always be discounted.  Rather, it may create a bottleneck situation that would allow prices to be driven up relative to the current situation.  </w:t>
      </w:r>
    </w:p>
    <w:p>
      <w:pPr>
        <w:pStyle w:val="Normal"/>
        <w:rPr/>
      </w:pPr>
      <w:r>
        <w:rPr/>
        <w:t xml:space="preserve">Mr. Lorenz claims that the CSA eliminates SoCalGas’ current windowing procedure and establishes receipt point capacity in its place prior to the proposed implementation of firm intrastate capacity rights.  Lorenz Direct at 15.  The CSA is merely adopting, for an initial period, the receipt point capacity methods that were first developed in the IS.  IS, § I.A, December 27, 1999.  The IS/PI also preserves the receipt point capacity methods of the IS. </w:t>
      </w:r>
    </w:p>
    <w:p>
      <w:pPr>
        <w:pStyle w:val="Normal"/>
        <w:rPr/>
      </w:pPr>
      <w:r>
        <w:rPr/>
        <w:t xml:space="preserve">Mr. Lorenz also claims that the CSA establishes Hector Road as a formal receipt point on the SoCalGas system.  Lorenz Direct at 14.  Again, the CSA is merely adopting the Hector Road provisions of the IS , which first established the Hector Road receipt point and the rules under which it would operate.  IS, § II.  The IS/PI preserves this and all other aspects of the IS. </w:t>
      </w:r>
    </w:p>
    <w:p>
      <w:pPr>
        <w:pStyle w:val="Heading2"/>
        <w:ind w:firstLine="720" w:start="0"/>
        <w:rPr/>
      </w:pPr>
      <w:bookmarkStart w:id="24" w:name="__RefHeading___Toc483408710"/>
      <w:bookmarkEnd w:id="24"/>
      <w:r>
        <w:rPr/>
        <w:t>The CSA Would Harm Core Customers By Dramatically Reducing Their Flexibility and Imposing New Costs.  (Yap)</w:t>
      </w:r>
    </w:p>
    <w:p>
      <w:pPr>
        <w:pStyle w:val="Normal"/>
        <w:rPr/>
      </w:pPr>
      <w:r>
        <w:rPr/>
        <w:t>The CSA would eliminate the flexibility that the core currently enjoys and replace it with a system of reserved capacity rights.  Under the CSA, the core will be required to bear greater risk and, concurrently, greater costs for its transmission services.  The CSA represents a great step backwards for the core.</w:t>
      </w:r>
    </w:p>
    <w:p>
      <w:pPr>
        <w:pStyle w:val="Normal"/>
        <w:rPr/>
      </w:pPr>
      <w:r>
        <w:rPr/>
        <w:t>The core enjoys great flexibility under the current system of transportation arrangements on SoCalGas.  The core has access to a very competitive market for gas at the border and in the various gas producing basins.  The core simply pays a margin contribution toward SoCalGas’ transmission revenue requirement that is set in the BCAP proceedings.  The core’s share is based upon its cold year throughput, which in the most recent BCAP was projected at about 1022 MMcf/d.  D.00-04-060, slip op. at App. D, Table 11.  The core pays its allotted annual contribution to margin whether its actual usage is greater or lesser than the 1022 MMcf/d level because any variation is corrected through the functioning of the Core Fixed Cost Account (“CFCA”).  Therefore, if the core needs flowing supplies of up to 1,350 MMcf/d (or higher), it can obtain gas supplies at that level by nominating them for delivery into SoCalGas’ system.  The core will get firm delivery of its gas across SoCalGas’ system without paying any kind of premium or additional cost.  All of this will change under the proposed CSA.</w:t>
      </w:r>
    </w:p>
    <w:p>
      <w:pPr>
        <w:pStyle w:val="Normal"/>
        <w:rPr/>
      </w:pPr>
      <w:r>
        <w:rPr/>
        <w:t xml:space="preserve">This could be a real problem for the core.  The core puts its transmission flexibility to great use during the wintertime.  For example, in 1999, the core needed in excess of 1000 MMcf/d in flowing gas supplies during nearly 130 days.  Of these days, eight required supplies in excess of 1300 MMcf/d, 21 days required supplies between 1200 and 1300 MMcf/d, 61 days required supplies between 1100 and 1200 MMcf/d, and another 39 days required supplies between 1000 and 1100 MMcf/d.  </w:t>
      </w:r>
    </w:p>
    <w:p>
      <w:pPr>
        <w:pStyle w:val="Heading3"/>
        <w:ind w:firstLine="720" w:start="0"/>
        <w:rPr/>
      </w:pPr>
      <w:bookmarkStart w:id="25" w:name="__RefHeading___Toc483408711"/>
      <w:bookmarkEnd w:id="25"/>
      <w:r>
        <w:rPr/>
        <w:t>Having to Deal with Capacity Rights Creates New Risks for the Core</w:t>
      </w:r>
    </w:p>
    <w:p>
      <w:pPr>
        <w:pStyle w:val="Normal"/>
        <w:rPr/>
      </w:pPr>
      <w:r>
        <w:rPr/>
        <w:t>Mr. Lorenz claims that having the core meet a reservation level of 1000 MMcf/d of intrastate “backbone” capacity offers reduced costs for core customers.  Lorenz Direct at 12.  This is not necessarily true.  The core, like other lower load factor customers, will have to make some hard choices under the CSA that it hasn’t had to make in the past.  The core will no longer enjoy the flexibility that it has under the current system.  Instead, it could either reserve capacity sufficient to meet its peak need for flowing supplies during the year or it could reserve a lower amount of capacity, much closer to its average need for flowing supplies, and buy a significant fraction of its peak flowing supplies from the market during the peak months.  In either case, the core could end up paying more, not less, than it does currently.</w:t>
      </w:r>
    </w:p>
    <w:p>
      <w:pPr>
        <w:pStyle w:val="Heading4"/>
        <w:ind w:firstLine="720" w:start="0"/>
        <w:rPr/>
      </w:pPr>
      <w:bookmarkStart w:id="26" w:name="__RefHeading___Toc483408712"/>
      <w:bookmarkEnd w:id="26"/>
      <w:r>
        <w:rPr/>
        <w:t>Option 1:  Reserve Full Requirement for Flowing Supplies</w:t>
      </w:r>
    </w:p>
    <w:p>
      <w:pPr>
        <w:pStyle w:val="Normal"/>
        <w:rPr/>
      </w:pPr>
      <w:r>
        <w:rPr/>
        <w:t>The first option that the core could pursue under the CSA is to reserve sufficient capacity to meet its full wintertime need for flowing supplies.  For example, during 1999, the core relied upon as much as 1350 MMcf/d in flowing supplies, in addition to its withdrawals from storage, in meeting its requirements.  If it reserved this full 1350 MMcf/d of capacity under the CSA, the core’s average rate would be much higher than the rates that are quoted by Mr. Lorenz in his testimony because the core has a relatively low load factor.  The core’s load factor for 1999 was about 44 percent, of which a portion was met by storage.  When the load factor is adjusted to remove the effect of storage, the core’s load factor is still only 65 percent.  Therefore, the core’s average rate would be about $0.111 per dth under an SFV rate options, or about $0.096 per dth under the 50/50 demand/volumetric rate option.  Thus, the core’s average rate would be 34 to 54 percent higher than SoCalGas’ quoted rate of $0.072</w:t>
      </w:r>
      <w:r>
        <w:rPr>
          <w:color w:val="0000FF"/>
        </w:rPr>
        <w:t>.</w:t>
      </w:r>
      <w:r>
        <w:rPr/>
        <w:t xml:space="preserve">  </w:t>
      </w:r>
    </w:p>
    <w:p>
      <w:pPr>
        <w:pStyle w:val="Heading4"/>
        <w:ind w:firstLine="720" w:start="0"/>
        <w:rPr/>
      </w:pPr>
      <w:bookmarkStart w:id="27" w:name="__RefHeading___Toc483408713"/>
      <w:bookmarkEnd w:id="27"/>
      <w:r>
        <w:rPr/>
        <w:t>Option 2:  Reserve Less than Full Annual Requirements for Flowing Supplies</w:t>
      </w:r>
    </w:p>
    <w:p>
      <w:pPr>
        <w:pStyle w:val="Normal"/>
        <w:rPr/>
      </w:pPr>
      <w:r>
        <w:rPr/>
        <w:t>The second option that the core could pursue under the CSA is to reserve less than its full wintertime flowing gas requirements, say about 75 percent of the peak requirement.  This is the approach endorsed by the CSA.  In fact, the CSA reduces the core’s reservation slightly from the 1022 MMcf/d level found in the BCAP allocation to 1000 MMcf/d, which appears to reduce core costs.  However, the CSA does not factor in the potential increase in gas purchase costs that could be faced by the core.  Under the CSA approach (and using 1999 operating data as an illustration), the core would face about 130 days out of the year where they needed to purchase as much as 350 MMcf/d in flowing supplies on an as-available basis at the citygate from marketers or buy transmission capacity from the secondary markets.  Given that the core’s loads are driven primarily by heating requirements, it would need to purchase these additional supplies during the expensive high-demand periods.  It is precisely during such high demand periods that the FERC observed marketers charging a premium for gas supplies bundled with transportation.  Order 637, RM98-10-00, Feb 25, 2000, slip op. at 58.</w:t>
      </w:r>
    </w:p>
    <w:p>
      <w:pPr>
        <w:pStyle w:val="Normal"/>
        <w:rPr/>
      </w:pPr>
      <w:r>
        <w:rPr/>
        <w:t xml:space="preserve">While the core arguably could draw some gas supplies from its storage inventories to meet its needs instead of paying marketers for very expensive flowing supplies, every amount that it draws from inventory during the winter brings it closer to its minimum inventory levels.  Furthermore, one cannot tell if the winter period will bring more cold weather with perhaps even more expensive gas supplies.  In any case, the core cannot afford to drop below minimum inventories if it is to guarantee very high withdrawal rates as protection against extremely cold weather, which could potentially happen at any time during the cold winter months.  Additionally, under the CSA, the core’s storage inventory capacity will be reduced by more than 20 percent from 70 Bcf to 55 Bcf.  Therefore, it will not stretch as far beyond the minimum inventory levels.  </w:t>
      </w:r>
    </w:p>
    <w:p>
      <w:pPr>
        <w:pStyle w:val="Heading3"/>
        <w:ind w:firstLine="720" w:start="0"/>
        <w:rPr/>
      </w:pPr>
      <w:bookmarkStart w:id="28" w:name="__RefHeading___Toc483408714"/>
      <w:bookmarkEnd w:id="28"/>
      <w:r>
        <w:rPr/>
        <w:t>The CSA Increases Transmission Costs for Core Customers.  (Yap)</w:t>
      </w:r>
    </w:p>
    <w:p>
      <w:pPr>
        <w:pStyle w:val="Normal"/>
        <w:rPr/>
      </w:pPr>
      <w:r>
        <w:rPr/>
        <w:t xml:space="preserve">An examination of the projected transmission costs for core customers under the CSA demonstrates that it represents a substantial increase in costs relative to the transmission allocation that the core receives under the current BCAP allocation scheme.  Therefore, the core not only loses substantial flexibility and picks up risk, but it sees a hefty increase in its transmission cost allocation.  The following table provides a comparison of transmission costs.  </w:t>
      </w:r>
    </w:p>
    <w:p>
      <w:pPr>
        <w:pStyle w:val="Normal"/>
        <w:ind w:hanging="0" w:end="0"/>
        <w:rPr/>
      </w:pPr>
      <w:r>
        <w:rPr/>
      </w:r>
    </w:p>
    <w:tbl>
      <w:tblPr>
        <w:tblW w:w="7380" w:type="dxa"/>
        <w:jc w:val="center"/>
        <w:tblInd w:w="0" w:type="dxa"/>
        <w:tblLayout w:type="fixed"/>
        <w:tblCellMar>
          <w:top w:w="0" w:type="dxa"/>
          <w:start w:w="144" w:type="dxa"/>
          <w:bottom w:w="0" w:type="dxa"/>
          <w:end w:w="144" w:type="dxa"/>
        </w:tblCellMar>
      </w:tblPr>
      <w:tblGrid>
        <w:gridCol w:w="1080"/>
        <w:gridCol w:w="1350"/>
        <w:gridCol w:w="990"/>
        <w:gridCol w:w="1800"/>
        <w:gridCol w:w="1170"/>
        <w:gridCol w:w="990"/>
      </w:tblGrid>
      <w:tr>
        <w:trPr>
          <w:trHeight w:val="270" w:hRule="atLeast"/>
        </w:trPr>
        <w:tc>
          <w:tcPr>
            <w:tcW w:w="1080" w:type="dxa"/>
            <w:tcBorders>
              <w:top w:val="single" w:sz="6" w:space="0" w:color="000000"/>
              <w:start w:val="single" w:sz="6" w:space="0" w:color="000000"/>
            </w:tcBorders>
          </w:tcPr>
          <w:p>
            <w:pPr>
              <w:pStyle w:val="Normal"/>
              <w:snapToGrid w:val="false"/>
              <w:spacing w:lineRule="auto" w:line="240"/>
              <w:ind w:hanging="0" w:end="0"/>
              <w:rPr>
                <w:rFonts w:ascii="Book Antiqua;Georgia" w:hAnsi="Book Antiqua;Georgia" w:cs="Book Antiqua;Georgia"/>
                <w:sz w:val="20"/>
              </w:rPr>
            </w:pPr>
            <w:r>
              <w:rPr>
                <w:rFonts w:cs="Book Antiqua;Georgia" w:ascii="Book Antiqua;Georgia" w:hAnsi="Book Antiqua;Georgia"/>
                <w:sz w:val="20"/>
              </w:rPr>
            </w:r>
          </w:p>
        </w:tc>
        <w:tc>
          <w:tcPr>
            <w:tcW w:w="1350" w:type="dxa"/>
            <w:tcBorders>
              <w:top w:val="single" w:sz="6" w:space="0" w:color="000000"/>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BCAP Scaled</w:t>
            </w:r>
          </w:p>
        </w:tc>
        <w:tc>
          <w:tcPr>
            <w:tcW w:w="990" w:type="dxa"/>
            <w:tcBorders>
              <w:top w:val="single" w:sz="6" w:space="0" w:color="000000"/>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BCAP</w:t>
            </w:r>
          </w:p>
        </w:tc>
        <w:tc>
          <w:tcPr>
            <w:tcW w:w="1800" w:type="dxa"/>
            <w:tcBorders>
              <w:top w:val="single" w:sz="6" w:space="0" w:color="000000"/>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Total Trans</w:t>
            </w:r>
          </w:p>
        </w:tc>
        <w:tc>
          <w:tcPr>
            <w:tcW w:w="1170" w:type="dxa"/>
            <w:tcBorders>
              <w:top w:val="single" w:sz="6" w:space="0" w:color="000000"/>
            </w:tcBorders>
          </w:tcPr>
          <w:p>
            <w:pPr>
              <w:pStyle w:val="Normal"/>
              <w:snapToGrid w:val="false"/>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r>
          </w:p>
        </w:tc>
        <w:tc>
          <w:tcPr>
            <w:tcW w:w="990" w:type="dxa"/>
            <w:tcBorders>
              <w:top w:val="single" w:sz="6" w:space="0" w:color="000000"/>
              <w:end w:val="single" w:sz="6" w:space="0" w:color="000000"/>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Change</w:t>
            </w:r>
          </w:p>
        </w:tc>
      </w:tr>
      <w:tr>
        <w:trPr>
          <w:trHeight w:val="270" w:hRule="atLeast"/>
        </w:trPr>
        <w:tc>
          <w:tcPr>
            <w:tcW w:w="1080" w:type="dxa"/>
            <w:tcBorders>
              <w:start w:val="single" w:sz="6" w:space="0" w:color="000000"/>
            </w:tcBorders>
          </w:tcPr>
          <w:p>
            <w:pPr>
              <w:pStyle w:val="Normal"/>
              <w:snapToGrid w:val="false"/>
              <w:spacing w:lineRule="auto" w:line="240"/>
              <w:ind w:hanging="0" w:end="0"/>
              <w:rPr>
                <w:rFonts w:ascii="Book Antiqua;Georgia" w:hAnsi="Book Antiqua;Georgia" w:cs="Book Antiqua;Georgia"/>
                <w:sz w:val="20"/>
              </w:rPr>
            </w:pPr>
            <w:r>
              <w:rPr>
                <w:rFonts w:cs="Book Antiqua;Georgia" w:ascii="Book Antiqua;Georgia" w:hAnsi="Book Antiqua;Georgia"/>
                <w:sz w:val="20"/>
              </w:rPr>
            </w:r>
          </w:p>
        </w:tc>
        <w:tc>
          <w:tcPr>
            <w:tcW w:w="1350" w:type="dxa"/>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LRMC Trans</w:t>
            </w:r>
          </w:p>
        </w:tc>
        <w:tc>
          <w:tcPr>
            <w:tcW w:w="990" w:type="dxa"/>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Share</w:t>
            </w:r>
          </w:p>
        </w:tc>
        <w:tc>
          <w:tcPr>
            <w:tcW w:w="1800" w:type="dxa"/>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 xml:space="preserve">Cost Under </w:t>
            </w:r>
          </w:p>
        </w:tc>
        <w:tc>
          <w:tcPr>
            <w:tcW w:w="1170" w:type="dxa"/>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CSA</w:t>
            </w:r>
          </w:p>
        </w:tc>
        <w:tc>
          <w:tcPr>
            <w:tcW w:w="990" w:type="dxa"/>
            <w:tcBorders>
              <w:end w:val="single" w:sz="6" w:space="0" w:color="000000"/>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 xml:space="preserve">CSA vs </w:t>
            </w:r>
          </w:p>
        </w:tc>
      </w:tr>
      <w:tr>
        <w:trPr>
          <w:trHeight w:val="270" w:hRule="atLeast"/>
        </w:trPr>
        <w:tc>
          <w:tcPr>
            <w:tcW w:w="1080" w:type="dxa"/>
            <w:tcBorders>
              <w:start w:val="single" w:sz="6" w:space="0" w:color="000000"/>
            </w:tcBorders>
          </w:tcPr>
          <w:p>
            <w:pPr>
              <w:pStyle w:val="Normal"/>
              <w:snapToGrid w:val="false"/>
              <w:spacing w:lineRule="auto" w:line="240"/>
              <w:ind w:hanging="0" w:end="0"/>
              <w:rPr>
                <w:rFonts w:ascii="Book Antiqua;Georgia" w:hAnsi="Book Antiqua;Georgia" w:cs="Book Antiqua;Georgia"/>
                <w:sz w:val="20"/>
              </w:rPr>
            </w:pPr>
            <w:r>
              <w:rPr>
                <w:rFonts w:cs="Book Antiqua;Georgia" w:ascii="Book Antiqua;Georgia" w:hAnsi="Book Antiqua;Georgia"/>
                <w:sz w:val="20"/>
              </w:rPr>
            </w:r>
          </w:p>
        </w:tc>
        <w:tc>
          <w:tcPr>
            <w:tcW w:w="1350" w:type="dxa"/>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Allocation /1</w:t>
            </w:r>
          </w:p>
        </w:tc>
        <w:tc>
          <w:tcPr>
            <w:tcW w:w="990" w:type="dxa"/>
            <w:tcBorders/>
          </w:tcPr>
          <w:p>
            <w:pPr>
              <w:pStyle w:val="Normal"/>
              <w:snapToGrid w:val="false"/>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r>
          </w:p>
        </w:tc>
        <w:tc>
          <w:tcPr>
            <w:tcW w:w="1800" w:type="dxa"/>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CSA/3</w:t>
            </w:r>
          </w:p>
        </w:tc>
        <w:tc>
          <w:tcPr>
            <w:tcW w:w="1170" w:type="dxa"/>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Share</w:t>
            </w:r>
          </w:p>
        </w:tc>
        <w:tc>
          <w:tcPr>
            <w:tcW w:w="990" w:type="dxa"/>
            <w:tcBorders>
              <w:end w:val="single" w:sz="6" w:space="0" w:color="000000"/>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BCAP</w:t>
            </w:r>
          </w:p>
        </w:tc>
      </w:tr>
      <w:tr>
        <w:trPr>
          <w:trHeight w:val="270" w:hRule="atLeast"/>
        </w:trPr>
        <w:tc>
          <w:tcPr>
            <w:tcW w:w="1080" w:type="dxa"/>
            <w:tcBorders>
              <w:start w:val="single" w:sz="6" w:space="0" w:color="000000"/>
            </w:tcBorders>
          </w:tcPr>
          <w:p>
            <w:pPr>
              <w:pStyle w:val="Normal"/>
              <w:snapToGrid w:val="false"/>
              <w:spacing w:lineRule="auto" w:line="240"/>
              <w:ind w:hanging="0" w:end="0"/>
              <w:rPr>
                <w:rFonts w:ascii="Book Antiqua;Georgia" w:hAnsi="Book Antiqua;Georgia" w:cs="Book Antiqua;Georgia"/>
                <w:sz w:val="20"/>
              </w:rPr>
            </w:pPr>
            <w:r>
              <w:rPr>
                <w:rFonts w:cs="Book Antiqua;Georgia" w:ascii="Book Antiqua;Georgia" w:hAnsi="Book Antiqua;Georgia"/>
                <w:sz w:val="20"/>
              </w:rPr>
            </w:r>
          </w:p>
        </w:tc>
        <w:tc>
          <w:tcPr>
            <w:tcW w:w="1350" w:type="dxa"/>
            <w:tcBorders/>
          </w:tcPr>
          <w:p>
            <w:pPr>
              <w:pStyle w:val="Normal"/>
              <w:snapToGrid w:val="false"/>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r>
          </w:p>
        </w:tc>
        <w:tc>
          <w:tcPr>
            <w:tcW w:w="990" w:type="dxa"/>
            <w:tcBorders/>
          </w:tcPr>
          <w:p>
            <w:pPr>
              <w:pStyle w:val="Normal"/>
              <w:snapToGrid w:val="false"/>
              <w:spacing w:lineRule="auto" w:line="240"/>
              <w:ind w:hanging="0" w:end="0"/>
              <w:rPr>
                <w:rFonts w:ascii="Book Antiqua;Georgia" w:hAnsi="Book Antiqua;Georgia" w:cs="Book Antiqua;Georgia"/>
                <w:sz w:val="20"/>
              </w:rPr>
            </w:pPr>
            <w:r>
              <w:rPr>
                <w:rFonts w:cs="Book Antiqua;Georgia" w:ascii="Book Antiqua;Georgia" w:hAnsi="Book Antiqua;Georgia"/>
                <w:sz w:val="20"/>
              </w:rPr>
            </w:r>
          </w:p>
        </w:tc>
        <w:tc>
          <w:tcPr>
            <w:tcW w:w="1800" w:type="dxa"/>
            <w:tcBorders/>
          </w:tcPr>
          <w:p>
            <w:pPr>
              <w:pStyle w:val="Normal"/>
              <w:snapToGrid w:val="false"/>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r>
          </w:p>
        </w:tc>
        <w:tc>
          <w:tcPr>
            <w:tcW w:w="1170" w:type="dxa"/>
            <w:tcBorders/>
          </w:tcPr>
          <w:p>
            <w:pPr>
              <w:pStyle w:val="Normal"/>
              <w:snapToGrid w:val="false"/>
              <w:spacing w:lineRule="auto" w:line="240"/>
              <w:ind w:hanging="0" w:end="0"/>
              <w:rPr>
                <w:rFonts w:ascii="Book Antiqua;Georgia" w:hAnsi="Book Antiqua;Georgia" w:cs="Book Antiqua;Georgia"/>
                <w:sz w:val="20"/>
              </w:rPr>
            </w:pPr>
            <w:r>
              <w:rPr>
                <w:rFonts w:cs="Book Antiqua;Georgia" w:ascii="Book Antiqua;Georgia" w:hAnsi="Book Antiqua;Georgia"/>
                <w:sz w:val="20"/>
              </w:rPr>
            </w:r>
          </w:p>
        </w:tc>
        <w:tc>
          <w:tcPr>
            <w:tcW w:w="990" w:type="dxa"/>
            <w:tcBorders>
              <w:end w:val="single" w:sz="6" w:space="0" w:color="000000"/>
            </w:tcBorders>
          </w:tcPr>
          <w:p>
            <w:pPr>
              <w:pStyle w:val="Normal"/>
              <w:snapToGrid w:val="false"/>
              <w:spacing w:lineRule="auto" w:line="240"/>
              <w:ind w:hanging="0" w:end="0"/>
              <w:rPr>
                <w:rFonts w:ascii="Book Antiqua;Georgia" w:hAnsi="Book Antiqua;Georgia" w:cs="Book Antiqua;Georgia"/>
                <w:sz w:val="20"/>
              </w:rPr>
            </w:pPr>
            <w:r>
              <w:rPr>
                <w:rFonts w:cs="Book Antiqua;Georgia" w:ascii="Book Antiqua;Georgia" w:hAnsi="Book Antiqua;Georgia"/>
                <w:sz w:val="20"/>
              </w:rPr>
            </w:r>
          </w:p>
        </w:tc>
      </w:tr>
      <w:tr>
        <w:trPr>
          <w:trHeight w:val="270" w:hRule="atLeast"/>
        </w:trPr>
        <w:tc>
          <w:tcPr>
            <w:tcW w:w="1080" w:type="dxa"/>
            <w:tcBorders>
              <w:start w:val="single" w:sz="6" w:space="0" w:color="000000"/>
            </w:tcBorders>
          </w:tcPr>
          <w:p>
            <w:pPr>
              <w:pStyle w:val="Normal"/>
              <w:spacing w:lineRule="auto" w:line="240"/>
              <w:ind w:hanging="0" w:end="0"/>
              <w:rPr>
                <w:rFonts w:ascii="Book Antiqua;Georgia" w:hAnsi="Book Antiqua;Georgia" w:cs="Book Antiqua;Georgia"/>
                <w:sz w:val="20"/>
              </w:rPr>
            </w:pPr>
            <w:r>
              <w:rPr>
                <w:rFonts w:cs="Book Antiqua;Georgia" w:ascii="Book Antiqua;Georgia" w:hAnsi="Book Antiqua;Georgia"/>
                <w:sz w:val="20"/>
              </w:rPr>
              <w:t xml:space="preserve">Core </w:t>
            </w:r>
          </w:p>
        </w:tc>
        <w:tc>
          <w:tcPr>
            <w:tcW w:w="1350" w:type="dxa"/>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 xml:space="preserve">52,167 </w:t>
            </w:r>
          </w:p>
        </w:tc>
        <w:tc>
          <w:tcPr>
            <w:tcW w:w="990" w:type="dxa"/>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34%</w:t>
            </w:r>
          </w:p>
        </w:tc>
        <w:tc>
          <w:tcPr>
            <w:tcW w:w="1800" w:type="dxa"/>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 xml:space="preserve">56,889 </w:t>
            </w:r>
          </w:p>
        </w:tc>
        <w:tc>
          <w:tcPr>
            <w:tcW w:w="1170" w:type="dxa"/>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38%</w:t>
            </w:r>
          </w:p>
        </w:tc>
        <w:tc>
          <w:tcPr>
            <w:tcW w:w="990" w:type="dxa"/>
            <w:tcBorders>
              <w:end w:val="single" w:sz="6" w:space="0" w:color="000000"/>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9%</w:t>
            </w:r>
          </w:p>
        </w:tc>
      </w:tr>
      <w:tr>
        <w:trPr>
          <w:trHeight w:val="270" w:hRule="atLeast"/>
        </w:trPr>
        <w:tc>
          <w:tcPr>
            <w:tcW w:w="1080" w:type="dxa"/>
            <w:tcBorders>
              <w:start w:val="single" w:sz="6" w:space="0" w:color="000000"/>
            </w:tcBorders>
          </w:tcPr>
          <w:p>
            <w:pPr>
              <w:pStyle w:val="Normal"/>
              <w:spacing w:lineRule="auto" w:line="240"/>
              <w:ind w:hanging="0" w:end="0"/>
              <w:rPr>
                <w:rFonts w:ascii="Book Antiqua;Georgia" w:hAnsi="Book Antiqua;Georgia" w:cs="Book Antiqua;Georgia"/>
                <w:sz w:val="20"/>
              </w:rPr>
            </w:pPr>
            <w:r>
              <w:rPr>
                <w:rFonts w:cs="Book Antiqua;Georgia" w:ascii="Book Antiqua;Georgia" w:hAnsi="Book Antiqua;Georgia"/>
                <w:sz w:val="20"/>
              </w:rPr>
              <w:t>Noncore</w:t>
            </w:r>
          </w:p>
        </w:tc>
        <w:tc>
          <w:tcPr>
            <w:tcW w:w="1350" w:type="dxa"/>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 xml:space="preserve">85,999 </w:t>
            </w:r>
          </w:p>
        </w:tc>
        <w:tc>
          <w:tcPr>
            <w:tcW w:w="990" w:type="dxa"/>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57%</w:t>
            </w:r>
          </w:p>
        </w:tc>
        <w:tc>
          <w:tcPr>
            <w:tcW w:w="1800" w:type="dxa"/>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 xml:space="preserve">87,407 </w:t>
            </w:r>
          </w:p>
        </w:tc>
        <w:tc>
          <w:tcPr>
            <w:tcW w:w="1170" w:type="dxa"/>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58%</w:t>
            </w:r>
          </w:p>
        </w:tc>
        <w:tc>
          <w:tcPr>
            <w:tcW w:w="990" w:type="dxa"/>
            <w:tcBorders>
              <w:end w:val="single" w:sz="6" w:space="0" w:color="000000"/>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2%</w:t>
            </w:r>
          </w:p>
        </w:tc>
      </w:tr>
      <w:tr>
        <w:trPr>
          <w:trHeight w:val="270" w:hRule="atLeast"/>
        </w:trPr>
        <w:tc>
          <w:tcPr>
            <w:tcW w:w="1080" w:type="dxa"/>
            <w:tcBorders>
              <w:start w:val="single" w:sz="6" w:space="0" w:color="000000"/>
            </w:tcBorders>
          </w:tcPr>
          <w:p>
            <w:pPr>
              <w:pStyle w:val="Normal"/>
              <w:spacing w:lineRule="auto" w:line="240"/>
              <w:ind w:hanging="0" w:end="0"/>
              <w:rPr>
                <w:rFonts w:ascii="Book Antiqua;Georgia" w:hAnsi="Book Antiqua;Georgia" w:cs="Book Antiqua;Georgia"/>
                <w:sz w:val="20"/>
              </w:rPr>
            </w:pPr>
            <w:r>
              <w:rPr>
                <w:rFonts w:cs="Book Antiqua;Georgia" w:ascii="Book Antiqua;Georgia" w:hAnsi="Book Antiqua;Georgia"/>
                <w:sz w:val="20"/>
              </w:rPr>
              <w:t>EOR</w:t>
            </w:r>
          </w:p>
        </w:tc>
        <w:tc>
          <w:tcPr>
            <w:tcW w:w="1350" w:type="dxa"/>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 xml:space="preserve">13,427 </w:t>
            </w:r>
          </w:p>
        </w:tc>
        <w:tc>
          <w:tcPr>
            <w:tcW w:w="990" w:type="dxa"/>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9%</w:t>
            </w:r>
          </w:p>
        </w:tc>
        <w:tc>
          <w:tcPr>
            <w:tcW w:w="1800" w:type="dxa"/>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 xml:space="preserve">7,297 </w:t>
            </w:r>
          </w:p>
        </w:tc>
        <w:tc>
          <w:tcPr>
            <w:tcW w:w="1170" w:type="dxa"/>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5%</w:t>
            </w:r>
          </w:p>
        </w:tc>
        <w:tc>
          <w:tcPr>
            <w:tcW w:w="990" w:type="dxa"/>
            <w:tcBorders>
              <w:end w:val="single" w:sz="6" w:space="0" w:color="000000"/>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-46%</w:t>
            </w:r>
          </w:p>
        </w:tc>
      </w:tr>
      <w:tr>
        <w:trPr>
          <w:trHeight w:val="270" w:hRule="atLeast"/>
        </w:trPr>
        <w:tc>
          <w:tcPr>
            <w:tcW w:w="1080" w:type="dxa"/>
            <w:tcBorders>
              <w:start w:val="single" w:sz="6" w:space="0" w:color="000000"/>
            </w:tcBorders>
          </w:tcPr>
          <w:p>
            <w:pPr>
              <w:pStyle w:val="Normal"/>
              <w:spacing w:lineRule="auto" w:line="240"/>
              <w:ind w:hanging="0" w:end="0"/>
              <w:rPr>
                <w:rFonts w:ascii="Book Antiqua;Georgia" w:hAnsi="Book Antiqua;Georgia" w:cs="Book Antiqua;Georgia"/>
                <w:sz w:val="20"/>
              </w:rPr>
            </w:pPr>
            <w:r>
              <w:rPr>
                <w:rFonts w:cs="Book Antiqua;Georgia" w:ascii="Book Antiqua;Georgia" w:hAnsi="Book Antiqua;Georgia"/>
                <w:sz w:val="20"/>
              </w:rPr>
              <w:t>Total</w:t>
            </w:r>
          </w:p>
        </w:tc>
        <w:tc>
          <w:tcPr>
            <w:tcW w:w="1350" w:type="dxa"/>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 xml:space="preserve">151,593 </w:t>
            </w:r>
          </w:p>
        </w:tc>
        <w:tc>
          <w:tcPr>
            <w:tcW w:w="990" w:type="dxa"/>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100%</w:t>
            </w:r>
          </w:p>
        </w:tc>
        <w:tc>
          <w:tcPr>
            <w:tcW w:w="1800" w:type="dxa"/>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 xml:space="preserve">151,593 </w:t>
            </w:r>
          </w:p>
        </w:tc>
        <w:tc>
          <w:tcPr>
            <w:tcW w:w="1170" w:type="dxa"/>
            <w:tcBorders/>
          </w:tcPr>
          <w:p>
            <w:pPr>
              <w:pStyle w:val="Normal"/>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t>100%</w:t>
            </w:r>
          </w:p>
        </w:tc>
        <w:tc>
          <w:tcPr>
            <w:tcW w:w="990" w:type="dxa"/>
            <w:tcBorders>
              <w:end w:val="single" w:sz="6" w:space="0" w:color="000000"/>
            </w:tcBorders>
          </w:tcPr>
          <w:p>
            <w:pPr>
              <w:pStyle w:val="Normal"/>
              <w:snapToGrid w:val="false"/>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r>
          </w:p>
        </w:tc>
      </w:tr>
      <w:tr>
        <w:trPr>
          <w:trHeight w:val="270" w:hRule="atLeast"/>
        </w:trPr>
        <w:tc>
          <w:tcPr>
            <w:tcW w:w="1080" w:type="dxa"/>
            <w:tcBorders>
              <w:start w:val="single" w:sz="6" w:space="0" w:color="000000"/>
              <w:bottom w:val="single" w:sz="6" w:space="0" w:color="000000"/>
            </w:tcBorders>
          </w:tcPr>
          <w:p>
            <w:pPr>
              <w:pStyle w:val="Normal"/>
              <w:snapToGrid w:val="false"/>
              <w:spacing w:lineRule="auto" w:line="240"/>
              <w:ind w:hanging="0" w:end="0"/>
              <w:rPr>
                <w:rFonts w:ascii="Book Antiqua;Georgia" w:hAnsi="Book Antiqua;Georgia" w:cs="Book Antiqua;Georgia"/>
                <w:sz w:val="20"/>
              </w:rPr>
            </w:pPr>
            <w:r>
              <w:rPr>
                <w:rFonts w:cs="Book Antiqua;Georgia" w:ascii="Book Antiqua;Georgia" w:hAnsi="Book Antiqua;Georgia"/>
                <w:sz w:val="20"/>
              </w:rPr>
            </w:r>
          </w:p>
        </w:tc>
        <w:tc>
          <w:tcPr>
            <w:tcW w:w="1350" w:type="dxa"/>
            <w:tcBorders>
              <w:bottom w:val="single" w:sz="6" w:space="0" w:color="000000"/>
            </w:tcBorders>
          </w:tcPr>
          <w:p>
            <w:pPr>
              <w:pStyle w:val="Normal"/>
              <w:snapToGrid w:val="false"/>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r>
          </w:p>
        </w:tc>
        <w:tc>
          <w:tcPr>
            <w:tcW w:w="990" w:type="dxa"/>
            <w:tcBorders>
              <w:bottom w:val="single" w:sz="6" w:space="0" w:color="000000"/>
            </w:tcBorders>
          </w:tcPr>
          <w:p>
            <w:pPr>
              <w:pStyle w:val="Normal"/>
              <w:snapToGrid w:val="false"/>
              <w:spacing w:lineRule="auto" w:line="240"/>
              <w:ind w:hanging="0" w:end="0"/>
              <w:rPr>
                <w:rFonts w:ascii="Book Antiqua;Georgia" w:hAnsi="Book Antiqua;Georgia" w:cs="Book Antiqua;Georgia"/>
                <w:sz w:val="20"/>
              </w:rPr>
            </w:pPr>
            <w:r>
              <w:rPr>
                <w:rFonts w:cs="Book Antiqua;Georgia" w:ascii="Book Antiqua;Georgia" w:hAnsi="Book Antiqua;Georgia"/>
                <w:sz w:val="20"/>
              </w:rPr>
            </w:r>
          </w:p>
        </w:tc>
        <w:tc>
          <w:tcPr>
            <w:tcW w:w="1800" w:type="dxa"/>
            <w:tcBorders>
              <w:bottom w:val="single" w:sz="6" w:space="0" w:color="000000"/>
            </w:tcBorders>
          </w:tcPr>
          <w:p>
            <w:pPr>
              <w:pStyle w:val="Normal"/>
              <w:snapToGrid w:val="false"/>
              <w:spacing w:lineRule="auto" w:line="240"/>
              <w:ind w:hanging="0" w:end="0"/>
              <w:jc w:val="end"/>
              <w:rPr>
                <w:rFonts w:ascii="Book Antiqua;Georgia" w:hAnsi="Book Antiqua;Georgia" w:cs="Book Antiqua;Georgia"/>
                <w:sz w:val="20"/>
              </w:rPr>
            </w:pPr>
            <w:r>
              <w:rPr>
                <w:rFonts w:cs="Book Antiqua;Georgia" w:ascii="Book Antiqua;Georgia" w:hAnsi="Book Antiqua;Georgia"/>
                <w:sz w:val="20"/>
              </w:rPr>
            </w:r>
          </w:p>
        </w:tc>
        <w:tc>
          <w:tcPr>
            <w:tcW w:w="1170" w:type="dxa"/>
            <w:tcBorders>
              <w:bottom w:val="single" w:sz="6" w:space="0" w:color="000000"/>
            </w:tcBorders>
          </w:tcPr>
          <w:p>
            <w:pPr>
              <w:pStyle w:val="Normal"/>
              <w:snapToGrid w:val="false"/>
              <w:spacing w:lineRule="auto" w:line="240"/>
              <w:ind w:hanging="0" w:end="0"/>
              <w:rPr>
                <w:rFonts w:ascii="Book Antiqua;Georgia" w:hAnsi="Book Antiqua;Georgia" w:cs="Book Antiqua;Georgia"/>
                <w:sz w:val="20"/>
              </w:rPr>
            </w:pPr>
            <w:r>
              <w:rPr>
                <w:rFonts w:cs="Book Antiqua;Georgia" w:ascii="Book Antiqua;Georgia" w:hAnsi="Book Antiqua;Georgia"/>
                <w:sz w:val="20"/>
              </w:rPr>
            </w:r>
          </w:p>
        </w:tc>
        <w:tc>
          <w:tcPr>
            <w:tcW w:w="990" w:type="dxa"/>
            <w:tcBorders>
              <w:bottom w:val="single" w:sz="6" w:space="0" w:color="000000"/>
              <w:end w:val="single" w:sz="6" w:space="0" w:color="000000"/>
            </w:tcBorders>
          </w:tcPr>
          <w:p>
            <w:pPr>
              <w:pStyle w:val="Normal"/>
              <w:snapToGrid w:val="false"/>
              <w:spacing w:lineRule="auto" w:line="240"/>
              <w:ind w:hanging="0" w:end="0"/>
              <w:rPr>
                <w:rFonts w:ascii="Book Antiqua;Georgia" w:hAnsi="Book Antiqua;Georgia" w:cs="Book Antiqua;Georgia"/>
                <w:sz w:val="20"/>
              </w:rPr>
            </w:pPr>
            <w:r>
              <w:rPr>
                <w:rFonts w:cs="Book Antiqua;Georgia" w:ascii="Book Antiqua;Georgia" w:hAnsi="Book Antiqua;Georgia"/>
                <w:sz w:val="20"/>
              </w:rPr>
            </w:r>
          </w:p>
        </w:tc>
      </w:tr>
    </w:tbl>
    <w:p>
      <w:pPr>
        <w:pStyle w:val="BlockText"/>
        <w:rPr/>
      </w:pPr>
      <w:r>
        <w:rPr/>
        <w:t>/1  Scaled LRMC Transmission allocation includes company use transmission and has been scaled using the scaling markup per D.00-04-060, Table 10.  The resulting BCAP shares have been applied to the estimated year 2002 total embedded transmission revenue requirement including backbone, local, and fuel costs.</w:t>
      </w:r>
    </w:p>
    <w:p>
      <w:pPr>
        <w:pStyle w:val="BlockText"/>
        <w:rPr/>
      </w:pPr>
      <w:r>
        <w:rPr/>
        <w:t>/2  Figures taken or calculated from Lorenz Direct, Attachments 3 and 8.</w:t>
      </w:r>
    </w:p>
    <w:p>
      <w:pPr>
        <w:pStyle w:val="BlockText"/>
        <w:rPr/>
      </w:pPr>
      <w:r>
        <w:rPr/>
      </w:r>
    </w:p>
    <w:p>
      <w:pPr>
        <w:pStyle w:val="Heading1"/>
        <w:ind w:firstLine="720" w:start="0"/>
        <w:rPr/>
      </w:pPr>
      <w:bookmarkStart w:id="29" w:name="__RefHeading___Toc483408715"/>
      <w:bookmarkEnd w:id="29"/>
      <w:r>
        <w:rPr/>
        <w:t>Storage (Yap)</w:t>
      </w:r>
    </w:p>
    <w:p>
      <w:pPr>
        <w:pStyle w:val="Normal"/>
        <w:rPr/>
      </w:pPr>
      <w:r>
        <w:rPr/>
        <w:t>The CSA violates the Commission’s prohibition against unlimited pricing of storage services in light of SoCalGas’ continuing position as a dominant provider of storage in southern California.  “In the absence of meaningful competition, it is not a promising option to grant SoCalGas unlimited ability to control prices and supply.”  D.99-07-015, slip op at 23.  Despite SoCalGas’ claim that the CSA would provide all customers with cost-based storage packages, these packages would only be available during the open seasons.  Furthermore, the packages provide protection only to seasonal storage users, leaving load-balancing customers effectively exposed to its uncapped pricing at all times.  In contrast, the IS/PI does not allow uncapped pricing consistent with D.99-07-015.</w:t>
      </w:r>
    </w:p>
    <w:p>
      <w:pPr>
        <w:pStyle w:val="Normal"/>
        <w:rPr/>
      </w:pPr>
      <w:r>
        <w:rPr/>
        <w:t>Furthermore, the CSA would reduce the core reservation without justification, and the CSA fails to remove Montebello from rates.  The IS/PI avoids both of these failings.</w:t>
      </w:r>
    </w:p>
    <w:p>
      <w:pPr>
        <w:pStyle w:val="Heading2"/>
        <w:ind w:firstLine="720" w:start="0"/>
        <w:rPr/>
      </w:pPr>
      <w:bookmarkStart w:id="30" w:name="__RefHeading___Toc483408716"/>
      <w:bookmarkEnd w:id="30"/>
      <w:r>
        <w:rPr/>
        <w:t>The CSA Eliminates the Cost Cap in Violation of the Commission’s Most Promising Options Discussion.  (Yap)</w:t>
      </w:r>
    </w:p>
    <w:p>
      <w:pPr>
        <w:pStyle w:val="Normal"/>
        <w:rPr/>
      </w:pPr>
      <w:r>
        <w:rPr/>
        <w:t xml:space="preserve">The CSA would remove all cost caps on SoCalGas’ pricing of storage.  From April 2001 through March 2002, SoCalGas would continue to have 50 percent balancing account treatment for storage revenue requirement and would be able to charge prices between 50 and 150 percent of embedded cost for each storage product, </w:t>
      </w:r>
      <w:r>
        <w:rPr>
          <w:i/>
        </w:rPr>
        <w:t>i.e</w:t>
      </w:r>
      <w:r>
        <w:rPr/>
        <w:t xml:space="preserve">., inventory, injection, and withdrawal.  Lorenz Direct at 17.  During the second year, from April 2002 through March 2003, SoCalGas would have 25 percent balancing account treatment for storage revenue requirement and would be able to charge prices between 50 and 200 percent of embedded cost for each storage product.  </w:t>
      </w:r>
      <w:r>
        <w:rPr>
          <w:i/>
        </w:rPr>
        <w:t>Id.</w:t>
      </w:r>
      <w:r>
        <w:rPr/>
        <w:t xml:space="preserve">  During all subsequent years, from April 2003 through August 2006, SoCalGas would be entirely at risk for its storage revenue requirement and would be able to charge any price above short run marginal cost for each storage product.  </w:t>
      </w:r>
      <w:r>
        <w:rPr>
          <w:i/>
        </w:rPr>
        <w:t>Id.</w:t>
      </w:r>
      <w:r>
        <w:rPr/>
        <w:t xml:space="preserve"> at 17-18.</w:t>
      </w:r>
    </w:p>
    <w:p>
      <w:pPr>
        <w:pStyle w:val="Normal"/>
        <w:rPr/>
      </w:pPr>
      <w:r>
        <w:rPr/>
        <w:t xml:space="preserve">Noncore customers would have to negotiate with SoCalGas in order to obtain the specific combination of storage services that they require.  After two years, the cost caps on these services will be nonexistent.  At the same time, SoCalGas will be increasingly exposed to risk of under recovery, as well as the potential reward of over recovery of its storage revenue requirement.  The CSA arrangement will provide the company with the incentive, as well as the means and the opportunity to exploit customers.  </w:t>
      </w:r>
    </w:p>
    <w:p>
      <w:pPr>
        <w:pStyle w:val="Heading3"/>
        <w:ind w:firstLine="720" w:start="0"/>
        <w:rPr/>
      </w:pPr>
      <w:bookmarkStart w:id="31" w:name="__RefHeading___Toc483408717"/>
      <w:bookmarkEnd w:id="31"/>
      <w:r>
        <w:rPr/>
        <w:t>SoCalGas Dominates the Southern California Storage Market.</w:t>
      </w:r>
    </w:p>
    <w:p>
      <w:pPr>
        <w:pStyle w:val="Normal"/>
        <w:rPr/>
      </w:pPr>
      <w:r>
        <w:rPr/>
        <w:t xml:space="preserve">SoCalGas dominates the southern California storage market.  The Commission states that the record in Phase I “supports the observation that SoCalGas is the dominant provider of gas storage in southern California and is likely to remain so, even if Montebello is operated by another firm.”  D.99-07-015, slip op. at 23.  There are currently no other storage service providers in southern California.  While Wild Goose Storage has begun operations in northern California, it is located too far upstream to pose a meaningful competitive threat to SoCalGas in the southern California market.  This is the same for Western Hub Properties’ Lodi Gas Storage.  Additionally, Lodi Gas Storage has obtained only a conditional certificate and may never be constructed.  D.00-05-048 (May 18, 2000).  </w:t>
      </w:r>
    </w:p>
    <w:p>
      <w:pPr>
        <w:pStyle w:val="Normal"/>
        <w:rPr/>
      </w:pPr>
      <w:r>
        <w:rPr/>
        <w:t>The Commission should be particularly mindful of the testimony of Mr. Paul Amirault (Ex. 9) on behalf of Wild Goose and Mr. John Burkholder (Ex. 8) on behalf of Western Hub.  They point out how SoCalGas’ heavily depreciated storage assets are priced well below the likely prices for competitively provided alternatives.  Ex.9 at 6, Ex. 8 at 5.  Essentially, by allowing SoCalGas to price storage assets in an uncapped fashion, the Commission would allow SoCalGas’ shareholders to pocket all of the economic value that may exist between the depreciated embedded cost of these regulatory assets and a market value that is unfettered by any meaningful competition.  This would be unfair to ratepayers that for decades have paid SoCalGas’ shareholders a return and depreciation on SoCalGas’ storage assets.</w:t>
      </w:r>
    </w:p>
    <w:p>
      <w:pPr>
        <w:pStyle w:val="Normal"/>
        <w:rPr/>
      </w:pPr>
      <w:r>
        <w:rPr/>
        <w:t xml:space="preserve">The only competition that SoCalGas faces in southern California is from the secondary market or flowing supplies.  It is not at all clear how well the secondary market will compete with SoCalGas in providing storage products.  To the extent that customers actually obtain their own storage, they are most likely to obtain supplies of storage that match their needs as closely as possible.  Supplies of storage products on the secondary market could be quite limited in terms of both type and duration.  Furthermore, as we have seen in northern California under the PG&amp;E Gas Accord, most customers have shifted to buying from marketers at the citygate because of the significant increase in risk and transaction costs that they face under the Gas Accord regime.  If customers rely on marketers, the storage assets will be placed in the hands of a relatively few entities that could have very complex motives for handling those assets in secondary market transactions.  </w:t>
      </w:r>
    </w:p>
    <w:p>
      <w:pPr>
        <w:pStyle w:val="BodyTextIndent2"/>
        <w:rPr/>
      </w:pPr>
      <w:r>
        <w:rPr/>
        <w:t xml:space="preserve">Flowing supply is also a questionable source of competition for SoCalGas’ storage.  The Commission recognized this problem in D.99-07-015:  “While flowing supply can be used to meet some of the goals of storage, it does not meet all of the goals and, by definition, is not consistently available.  In the absence of meaningful competition, it is not a promising option to grant SoCalGas unlimited ability to control prices and supply.  Some pricing flexibility may be appropriate if the company’s shareholders assume the risk for recovery of storage costs.”  D.99-07-015, slip op. at 23.  </w:t>
      </w:r>
    </w:p>
    <w:p>
      <w:pPr>
        <w:pStyle w:val="BodyTextIndent2"/>
        <w:rPr/>
      </w:pPr>
      <w:r>
        <w:rPr/>
        <w:t xml:space="preserve">Another obstacle to either the secondary market or flowing supply competing effectively with SoCalGas’ storage is that SoCalGas can manipulate transmission system operations to make its storage facilities more appealing to customers.  The Commission recognized this manipulative capability of SoCalGas in D.99-07-015:  “Undeniably, the current arrangement provides an incentive for the distribution companies to operate their transmission systems in a manner that encourages the use of their own storage facilities instead of those owned by competitors.  The available tools include delay, failure to share complete information, and failure to adequately contain costs that are passed on to competing firms.  Such tools could be used in a thousand different subtle ways that would be difficult to detect and need not involve violations of existing rules.”  </w:t>
      </w:r>
      <w:r>
        <w:rPr>
          <w:i/>
        </w:rPr>
        <w:t>Id</w:t>
      </w:r>
      <w:r>
        <w:rPr/>
        <w:t>. at 25-26.  Thus is it unlikely that either the secondary market or flowing supply would be an effective competitive alternative to SoCalGas’ storage.</w:t>
      </w:r>
    </w:p>
    <w:p>
      <w:pPr>
        <w:pStyle w:val="Heading3"/>
        <w:ind w:firstLine="720" w:start="0"/>
        <w:rPr/>
      </w:pPr>
      <w:bookmarkStart w:id="32" w:name="__RefHeading___Toc483408718"/>
      <w:bookmarkEnd w:id="32"/>
      <w:r>
        <w:rPr/>
        <w:t>PG&amp;E Has Cost Caps on Pricing Its Unbundled Storage Products Under the Gas Accord.</w:t>
      </w:r>
    </w:p>
    <w:p>
      <w:pPr>
        <w:pStyle w:val="Normal"/>
        <w:rPr/>
      </w:pPr>
      <w:r>
        <w:rPr/>
        <w:t xml:space="preserve">In the Gas Accord decision, the Commission put PG&amp;E at risk for recovering its unbundled storage revenue requirement, but PG&amp;E faces a cost-based cap on prices.  PG&amp;E offers negotiated firm storage service under its Schedule G-NFS, which states:  </w:t>
      </w:r>
    </w:p>
    <w:p>
      <w:pPr>
        <w:pStyle w:val="BlockText"/>
        <w:rPr/>
      </w:pPr>
      <w:r>
        <w:rPr/>
        <w:t>Negotiated rates, for service under this schedule, are subject to minimum and maximum rates.  Negotiated rates for storage service shall not be less than PG&amp;E’s marginal cost of providing the service.  Negotiated rates for storage service will be capped at the price which will collect 100 percent of PG&amp;E’s total revenue requirement for the unbundled storage program under all three (3) subfunctions (i.e., injection, inventory or withdrawal), as listed below.</w:t>
      </w:r>
    </w:p>
    <w:p>
      <w:pPr>
        <w:pStyle w:val="BlockText"/>
        <w:rPr/>
      </w:pPr>
      <w:r>
        <w:rPr/>
      </w:r>
    </w:p>
    <w:tbl>
      <w:tblPr>
        <w:tblW w:w="6513" w:type="dxa"/>
        <w:jc w:val="center"/>
        <w:tblInd w:w="0" w:type="dxa"/>
        <w:tblLayout w:type="fixed"/>
        <w:tblCellMar>
          <w:top w:w="0" w:type="dxa"/>
          <w:start w:w="108" w:type="dxa"/>
          <w:bottom w:w="0" w:type="dxa"/>
          <w:end w:w="108" w:type="dxa"/>
        </w:tblCellMar>
      </w:tblPr>
      <w:tblGrid>
        <w:gridCol w:w="2880"/>
        <w:gridCol w:w="3633"/>
      </w:tblGrid>
      <w:tr>
        <w:trPr/>
        <w:tc>
          <w:tcPr>
            <w:tcW w:w="2880" w:type="dxa"/>
            <w:tcBorders/>
          </w:tcPr>
          <w:p>
            <w:pPr>
              <w:pStyle w:val="Normal"/>
              <w:snapToGrid w:val="false"/>
              <w:spacing w:lineRule="auto" w:line="240"/>
              <w:ind w:hanging="0" w:end="0"/>
              <w:rPr>
                <w:sz w:val="22"/>
              </w:rPr>
            </w:pPr>
            <w:r>
              <w:rPr>
                <w:sz w:val="22"/>
              </w:rPr>
            </w:r>
          </w:p>
        </w:tc>
        <w:tc>
          <w:tcPr>
            <w:tcW w:w="3633" w:type="dxa"/>
            <w:tcBorders/>
          </w:tcPr>
          <w:p>
            <w:pPr>
              <w:pStyle w:val="Normal"/>
              <w:spacing w:lineRule="auto" w:line="240"/>
              <w:ind w:hanging="0" w:end="0"/>
              <w:rPr>
                <w:sz w:val="22"/>
                <w:u w:val="single"/>
              </w:rPr>
            </w:pPr>
            <w:r>
              <w:rPr>
                <w:sz w:val="22"/>
                <w:u w:val="single"/>
              </w:rPr>
              <w:t>Maximum Rates (Dth)</w:t>
            </w:r>
          </w:p>
        </w:tc>
      </w:tr>
      <w:tr>
        <w:trPr/>
        <w:tc>
          <w:tcPr>
            <w:tcW w:w="2880" w:type="dxa"/>
            <w:tcBorders/>
          </w:tcPr>
          <w:p>
            <w:pPr>
              <w:pStyle w:val="Normal"/>
              <w:spacing w:lineRule="auto" w:line="240"/>
              <w:ind w:hanging="0" w:end="0"/>
              <w:rPr>
                <w:sz w:val="22"/>
              </w:rPr>
            </w:pPr>
            <w:r>
              <w:rPr>
                <w:sz w:val="22"/>
              </w:rPr>
              <w:t>Injection/Day</w:t>
            </w:r>
          </w:p>
        </w:tc>
        <w:tc>
          <w:tcPr>
            <w:tcW w:w="3633" w:type="dxa"/>
            <w:tcBorders/>
          </w:tcPr>
          <w:p>
            <w:pPr>
              <w:pStyle w:val="Normal"/>
              <w:spacing w:lineRule="auto" w:line="240"/>
              <w:ind w:hanging="0" w:end="0"/>
              <w:rPr>
                <w:sz w:val="22"/>
              </w:rPr>
            </w:pPr>
            <w:r>
              <w:rPr>
                <w:sz w:val="22"/>
              </w:rPr>
              <w:t>$8.3526</w:t>
            </w:r>
          </w:p>
        </w:tc>
      </w:tr>
      <w:tr>
        <w:trPr/>
        <w:tc>
          <w:tcPr>
            <w:tcW w:w="2880" w:type="dxa"/>
            <w:tcBorders/>
          </w:tcPr>
          <w:p>
            <w:pPr>
              <w:pStyle w:val="Normal"/>
              <w:spacing w:lineRule="auto" w:line="240"/>
              <w:ind w:hanging="0" w:end="0"/>
              <w:rPr>
                <w:sz w:val="22"/>
              </w:rPr>
            </w:pPr>
            <w:r>
              <w:rPr>
                <w:sz w:val="22"/>
              </w:rPr>
              <w:t>Inventory</w:t>
            </w:r>
          </w:p>
        </w:tc>
        <w:tc>
          <w:tcPr>
            <w:tcW w:w="3633" w:type="dxa"/>
            <w:tcBorders/>
          </w:tcPr>
          <w:p>
            <w:pPr>
              <w:pStyle w:val="Normal"/>
              <w:spacing w:lineRule="auto" w:line="240"/>
              <w:ind w:hanging="0" w:end="0"/>
              <w:rPr>
                <w:sz w:val="22"/>
              </w:rPr>
            </w:pPr>
            <w:r>
              <w:rPr>
                <w:sz w:val="22"/>
              </w:rPr>
              <w:t>$1.1724</w:t>
            </w:r>
          </w:p>
        </w:tc>
      </w:tr>
      <w:tr>
        <w:trPr/>
        <w:tc>
          <w:tcPr>
            <w:tcW w:w="2880" w:type="dxa"/>
            <w:tcBorders/>
          </w:tcPr>
          <w:p>
            <w:pPr>
              <w:pStyle w:val="Normal"/>
              <w:spacing w:lineRule="auto" w:line="240"/>
              <w:ind w:hanging="0" w:end="0"/>
              <w:rPr>
                <w:sz w:val="22"/>
              </w:rPr>
            </w:pPr>
            <w:r>
              <w:rPr>
                <w:sz w:val="22"/>
              </w:rPr>
              <w:t>Withdrawal/Day</w:t>
            </w:r>
          </w:p>
        </w:tc>
        <w:tc>
          <w:tcPr>
            <w:tcW w:w="3633" w:type="dxa"/>
            <w:tcBorders/>
          </w:tcPr>
          <w:p>
            <w:pPr>
              <w:pStyle w:val="Normal"/>
              <w:spacing w:lineRule="auto" w:line="240"/>
              <w:ind w:hanging="0" w:end="0"/>
              <w:rPr>
                <w:sz w:val="22"/>
              </w:rPr>
            </w:pPr>
            <w:r>
              <w:rPr>
                <w:sz w:val="22"/>
              </w:rPr>
              <w:t>$5.0461</w:t>
            </w:r>
          </w:p>
        </w:tc>
      </w:tr>
    </w:tbl>
    <w:p>
      <w:pPr>
        <w:pStyle w:val="Header"/>
        <w:tabs>
          <w:tab w:val="clear" w:pos="4320"/>
          <w:tab w:val="clear" w:pos="8640"/>
        </w:tabs>
        <w:rPr/>
      </w:pPr>
      <w:r>
        <w:rPr/>
      </w:r>
    </w:p>
    <w:p>
      <w:pPr>
        <w:pStyle w:val="BlockText"/>
        <w:rPr/>
      </w:pPr>
      <w:r>
        <w:rPr/>
        <w:t>PG&amp;E shall not be required to sell firm storage capacity for less than the rates specified in Schedule G-FS.  However, at PG&amp;E’ sole option, negotiated offers satisfactory to PG&amp;E may be accepted.  PG&amp;E Schedule G-NFS at 1.</w:t>
      </w:r>
    </w:p>
    <w:p>
      <w:pPr>
        <w:pStyle w:val="BlockText"/>
        <w:rPr/>
      </w:pPr>
      <w:r>
        <w:rPr/>
      </w:r>
    </w:p>
    <w:p>
      <w:pPr>
        <w:pStyle w:val="Heading2"/>
        <w:ind w:firstLine="720" w:start="0"/>
        <w:rPr/>
      </w:pPr>
      <w:bookmarkStart w:id="33" w:name="__RefHeading___Toc483408719"/>
      <w:bookmarkEnd w:id="33"/>
      <w:r>
        <w:rPr/>
        <w:t>The CSA’s Standard Storage Package Provides Insufficient Protection for Load Balancing Customers.  (Yap)</w:t>
      </w:r>
    </w:p>
    <w:p>
      <w:pPr>
        <w:pStyle w:val="Normal"/>
        <w:rPr/>
      </w:pPr>
      <w:r>
        <w:rPr/>
        <w:t>The terms of the CSA do not provide noncore customers with sufficient protection from SoCalGas’ potentially overpricing unbundled storage services.  The CSA would make available through an annual open season a standard package of inventory, injection, and withdrawal service at an annual embedded cost price of $0.67 per dth of inventory.  The CSA supporters claim that this package will provide all customers an opportunity to get storage services at embedded cost.  Yet, in order to obtain embedded cost rates for storage products, a customer must buy the pre-specified package of products.  This severely undermines the embedded cost protection for most noncore customers, since they would not find the packaged combination of products attractive.  The package of storage products might be suitable for customers interested in seasonal storage, but the package is inadequate for customers interested in load balancing.</w:t>
      </w:r>
    </w:p>
    <w:p>
      <w:pPr>
        <w:pStyle w:val="Normal"/>
        <w:rPr/>
      </w:pPr>
      <w:r>
        <w:rPr/>
        <w:t xml:space="preserve">For example, based upon the figures presented by Mr. Lorenz, the standard package of 1 Bcf of inventory, 7.6 MMcf/d of injection, and 29.6 MMcf/d of withdrawal would cost $208,760 for inventory, $301,142 for injection, and $167,953 for withdrawal, for a total of $677,855.  Lorenz Direct, Attachment 6 at 1.  This package, with its high inventory level that would take over 120 days to fill and over 30 days to drain, more closely fits the needs of a seasonal user such as the core, rather than a noncore customer that needs storage to meet load-balancing requirements.  Such a customer would pay excess costs in the form of unwanted inventory and withdrawal services if it bought the CSA’s standard package.  A noncore load-balancing customer would likely desire a very different combination of products, </w:t>
      </w:r>
      <w:r>
        <w:rPr>
          <w:i/>
        </w:rPr>
        <w:t>e.g</w:t>
      </w:r>
      <w:r>
        <w:rPr/>
        <w:t xml:space="preserve">., 7.6 MMcf/d of injection, but only 122.3 MMcf of inventory, and 5.8 MMcf/d of withdrawal capacity, for a combined embedded cost of only $359,584, again using Mr. Lorenz’s unit cost figures.  </w:t>
      </w:r>
      <w:r>
        <w:rPr>
          <w:i/>
        </w:rPr>
        <w:t>Id</w:t>
      </w:r>
      <w:r>
        <w:rPr/>
        <w:t>.  Hence, being required to take SoCalGas’ standard package would nearly double the cost of storage services for this customer.</w:t>
      </w:r>
    </w:p>
    <w:p>
      <w:pPr>
        <w:pStyle w:val="Normal"/>
        <w:rPr/>
      </w:pPr>
      <w:r>
        <w:rPr/>
        <w:t xml:space="preserve">A standard load-balancing package of storage products priced at embedded cost would be formulated in the same proportions as the system-wide load balancing storage assets.  For each 100 MMcf of storage inventory, the customer would get 6.2 MMcf/d of injection and 4.7 MMcf/d of withdrawal.  Given the unit cost figures presented by Mr. Lorenz, the load balancing package would cost $20,876 for inventory, $245,669 for injection, and $26,668 for withdrawal for a total of $293,213.  </w:t>
      </w:r>
      <w:r>
        <w:rPr>
          <w:i/>
        </w:rPr>
        <w:t>Id</w:t>
      </w:r>
      <w:r>
        <w:rPr/>
        <w:t xml:space="preserve">.  </w:t>
      </w:r>
    </w:p>
    <w:p>
      <w:pPr>
        <w:pStyle w:val="Normal"/>
        <w:rPr/>
      </w:pPr>
      <w:r>
        <w:rPr/>
        <w:t>In terms of avoiding any stranded storage products, SoCalGas’ offering a standard load-balancing package would very much complement its offering of a standard seasonal package.  An examination of the two types of packages shows that the seasonal package uses relatively greater amounts of inventory and withdrawal than injection.  The load-balancing package uses relatively more injection than it does of inventory and withdrawal.  Furthermore, SoCalGas has previously complained of the low market interest in injection capacity.  A.98-10-012, Prepared Direct Testimony of Stephen A. Watson including Errata, March 1999 at O-9.  Creating a standard load-balancing package would help market storage injection to customers and reduce the likelihood of its becoming stranded.</w:t>
      </w:r>
    </w:p>
    <w:p>
      <w:pPr>
        <w:pStyle w:val="Normal"/>
        <w:rPr/>
      </w:pPr>
      <w:r>
        <w:rPr/>
        <w:t>However, no such standard load-balancing package is proposed in the CSA.  The effect is to leave a customer that needs storage for load balancing purposes in the position of either taking a seasonal package that is inappropriate and excessively costly, given the customer’s needs, or trying to negotiate a tailor-made package with no price cap.  Either way, the customer would be left paying an excessive price for services from depreciated storage facilities on which the customer has paid return and depreciation for years.</w:t>
      </w:r>
    </w:p>
    <w:p>
      <w:pPr>
        <w:pStyle w:val="Heading2"/>
        <w:ind w:firstLine="720" w:start="0"/>
        <w:rPr/>
      </w:pPr>
      <w:bookmarkStart w:id="34" w:name="__RefHeading___Toc483408720"/>
      <w:bookmarkEnd w:id="34"/>
      <w:r>
        <w:rPr/>
        <w:t>The IS/PI Imposes a Cost-Based Cap on Storage Products During the Entire Settlement Period.  (Yap)</w:t>
      </w:r>
    </w:p>
    <w:p>
      <w:pPr>
        <w:pStyle w:val="Normal"/>
        <w:rPr/>
      </w:pPr>
      <w:r>
        <w:rPr/>
        <w:t xml:space="preserve">Unlike the CSA, the IS/PI imposes a cost cap on SoCalGas’ storage services.  The initial cost cap, which is equal to 120 percent of the ceiling rate allowed under SoCalGas’ G-TBS tariff, is the same as the one incorporated into the Joint Recommendation (“JR”) adopted in the 1999 SoCalGas BCAP decision, D.00-04-060.  Starting January 1, 2003, the cap is equal to 100 percent of the G-TBS ceiling rate until the end of the settlement period in 2006.  IS/PI, §5.4.3.  SoCalGas’ G-TBS tariff, entitled “Transaction Based Storage Service,” permits the utility to “provide unbundled storage services for a minimum term of one month and not more than three years.”  G-TBS, Sheet 1.  The tariff further provides that the “price established for such service shall be no more than the sum of the individual charges set forth in Schedule No. G-LTS for firm inventory, injection and withdrawal services and no less than $0.01 per decatherm of inventory capacity reserved.”  </w:t>
      </w:r>
      <w:r>
        <w:rPr>
          <w:i/>
        </w:rPr>
        <w:t>Id</w:t>
      </w:r>
      <w:r>
        <w:rPr/>
        <w:t xml:space="preserve">.  Thus, the prices for the G-TBS storage services are explicitly capped at the rates set for long-term storage contracts at the G-LTS tariff rates.  The G-LTS rate is currently 19.3 cents per dth for inventory, 10.897 cents per dth per day for injection, and $13.735 per dth per day for withdrawal.  The G-LTS storage rates in turn flow from the LRMC rates established in SoCalGas’ 1996 BCAP.  D.97-04-082, slip op. at App. D.  </w:t>
      </w:r>
    </w:p>
    <w:p>
      <w:pPr>
        <w:pStyle w:val="Heading2"/>
        <w:ind w:firstLine="720" w:start="0"/>
        <w:rPr/>
      </w:pPr>
      <w:bookmarkStart w:id="35" w:name="__RefHeading___Toc483408721"/>
      <w:bookmarkEnd w:id="35"/>
      <w:r>
        <w:rPr/>
        <w:t>The CSA Reduces the Core’s Seasonal Storage Reservation (Florio)</w:t>
      </w:r>
    </w:p>
    <w:p>
      <w:pPr>
        <w:pStyle w:val="Normal"/>
        <w:rPr/>
      </w:pPr>
      <w:r>
        <w:rPr/>
        <w:t>Without as much as a word of explanation, the CSA reduces the core reservation of storage inventory capacity just adopted in recent 1999 BCAP from 70 Bcf to 55 Bcf.  Both SoCalGas witness Lorenz (p.6) and Western Hub Properties witness Burkholder (p.6) claim that the CSA reduces storage costs allocated to core customers by $5 million, but fail to note that the core is also getting less capacity for its money.  Moreover, any cost savings that are gained by reducing the core’s reservation of storage inventory may be more than offset by the increased cost of transmission that the core faces.  Furthermore, as discussed previously, the core loses significant winter flexibility that it needs under a capacity reservation system when its firm access is reduced to only 1,000 MMcf/d.</w:t>
      </w:r>
    </w:p>
    <w:p>
      <w:pPr>
        <w:pStyle w:val="Heading2"/>
        <w:ind w:firstLine="720" w:start="0"/>
        <w:rPr/>
      </w:pPr>
      <w:bookmarkStart w:id="36" w:name="__RefHeading___Toc483408722"/>
      <w:bookmarkEnd w:id="36"/>
      <w:r>
        <w:rPr/>
        <w:t>The CSA Fails to Remove the Montebello Storage Field from Rates.  (Florio)</w:t>
      </w:r>
    </w:p>
    <w:p>
      <w:pPr>
        <w:pStyle w:val="Normal"/>
        <w:rPr/>
      </w:pPr>
      <w:r>
        <w:rPr/>
        <w:t>The PI (§ 5.2) explicitly provides for the removal of the costs of the Montebello storage field from SoCalGas’ base rates, given the fact that the field has not been used for several years.  The CSA excludes Montebello from its embedded cost calculation of unbundled storage rates (§ 2.1.3.2), but it does not remove Montebello costs from the company’s revenue requirement.  Instead, the costs of Montebello are bundled in base margin and recovered through the LRMC scaling factor (CSA §2.1.3.7), which means that core customers will bear as much as 95% of these costs without receiving any benefit whatsoever from the use of the field.  It is inconsistent for the CSA to unbundle embedded storage costs from base rates while leaving Montebello costs in a distribution-only LRMC scalar.</w:t>
      </w:r>
    </w:p>
    <w:p>
      <w:pPr>
        <w:pStyle w:val="Heading1"/>
        <w:ind w:firstLine="720" w:start="0"/>
        <w:rPr/>
      </w:pPr>
      <w:bookmarkStart w:id="37" w:name="__RefHeading___Toc483408723"/>
      <w:bookmarkEnd w:id="37"/>
      <w:r>
        <w:rPr/>
        <w:t>Load Balancing Issues</w:t>
      </w:r>
    </w:p>
    <w:p>
      <w:pPr>
        <w:pStyle w:val="Heading2"/>
        <w:ind w:firstLine="720" w:start="0"/>
        <w:rPr/>
      </w:pPr>
      <w:bookmarkStart w:id="38" w:name="__RefHeading___Toc483408724"/>
      <w:bookmarkEnd w:id="38"/>
      <w:r>
        <w:rPr/>
        <w:t>The CSA Radically Changes the Nature of Load Balancing Service.  (Florio)</w:t>
      </w:r>
    </w:p>
    <w:p>
      <w:pPr>
        <w:pStyle w:val="Normal"/>
        <w:rPr/>
      </w:pPr>
      <w:r>
        <w:rPr/>
        <w:t xml:space="preserve">Under the current system, SoCalGas reserves storage capacity amounting to 355 MMcfd of injection, 250 MMcf/d of withdrawal and 5.3 Bcf of inventory in order to provide a bundled load balancing service to all of its customers.  The CSA would reduce the total core and noncore injection capacity reservation by 105 MMcf/d from 355 MMcf/d to 250 MMcf/d, unbundle most of the costs of balancing by providing a “self-balancing” option, and force the core and noncore markets to balance completely separately, such that one could be subject to OFO conditions when the other is not.  This approach will certainly increase the demand for the unbundled storage and hub services provided by SoCalGas and the independent storage providers, but it will not benefit customers.  Indeed, the loss of the diversity benefits that have accrued from the joint use of the system by the core and noncore classes will be destroyed, leaving both groups worse off.  </w:t>
      </w:r>
    </w:p>
    <w:p>
      <w:pPr>
        <w:pStyle w:val="Heading2"/>
        <w:ind w:firstLine="720" w:start="0"/>
        <w:rPr/>
      </w:pPr>
      <w:bookmarkStart w:id="39" w:name="__RefHeading___Toc483408725"/>
      <w:bookmarkEnd w:id="39"/>
      <w:r>
        <w:rPr/>
        <w:t>Postpone Any Modification to BCAP Load Balancing Reservation Levels Until the Next BCAP.  (Yap)</w:t>
      </w:r>
    </w:p>
    <w:p>
      <w:pPr>
        <w:pStyle w:val="Normal"/>
        <w:rPr/>
      </w:pPr>
      <w:r>
        <w:rPr/>
        <w:t>The CSA would provide a more limited set of resources with which to balance each separate group.  The core’s injection resources would shrink from its current 352.5 MMcf/d to 327 MMcf/d, eliminating all of the 25.5 MMcf/d of injection capability that is currently assigned to it for the balancing function, and the noncore’s injection resources would shrink from its current 329.4 MMcf/d to 250 MMcf/d.  Lorenz Direct at 18, 21.  This balancing capacity does not make sense given that the Commission just completed a BCAP case that addressed, among other things, the appropriate level of injection resources for load balancing purposes.  The Commission adopted the Joint Recommendation proposal to continue the existing balancing rules and maintain existing balancing resources in the 1999 BCAP.  D.00-04-060, slip op. at f.f. 9.k and Table 12.  The allocation of assets to the balancing function should not be reduced at the very time that other significant changes are occurring on the SoCalGas system that could affect reliability.</w:t>
      </w:r>
    </w:p>
    <w:p>
      <w:pPr>
        <w:pStyle w:val="Heading2"/>
        <w:ind w:firstLine="720" w:start="0"/>
        <w:rPr/>
      </w:pPr>
      <w:bookmarkStart w:id="40" w:name="__RefHeading___Toc483408726"/>
      <w:bookmarkEnd w:id="40"/>
      <w:r>
        <w:rPr/>
        <w:t>The CSA Would Cause a Dramatic Increase in the Number and Intensity of OFO Events by Eliminating the Benefits of Diversity.  (Yap)</w:t>
      </w:r>
    </w:p>
    <w:p>
      <w:pPr>
        <w:pStyle w:val="Normal"/>
        <w:rPr/>
      </w:pPr>
      <w:r>
        <w:rPr/>
        <w:t xml:space="preserve">The CSA eliminates balancing synergies by separating the balancing of the core from the balancing of the noncore in addition to reducing the balancing resources for each group.  As a result, customers lose.  Mr. Lorenz states that “daily balancing will be imposed under OFO conditions when either the core or noncore group exceeds its allocated balancing capacities, and it’s entirely possible that one group will operate under OFO conditions while the other group does not.”  Lorenz Direct at 21.  </w:t>
      </w:r>
    </w:p>
    <w:p>
      <w:pPr>
        <w:pStyle w:val="Normal"/>
        <w:rPr/>
      </w:pPr>
      <w:r>
        <w:rPr/>
        <w:t>It is quite clear that under the terms of the CSA, the number and intensity of OFOs will increase dramatically for both core and noncore customers as a result of the loss of diversity and reduction in balancing resources.  The following table presents a comparison of actual 1999 OFO occurrences with projected OFO events under the CSA rules.  The table is based upon SoCalGas 1999 daily operating data and 1999 overnomination event statistics.  SoCalGas Response to SCGC DR 1.7 and 3.3.</w:t>
      </w:r>
    </w:p>
    <w:p>
      <w:pPr>
        <w:pStyle w:val="Normal"/>
        <w:rPr/>
      </w:pPr>
      <w:r>
        <w:rPr/>
      </w:r>
    </w:p>
    <w:tbl>
      <w:tblPr>
        <w:tblW w:w="7484" w:type="dxa"/>
        <w:jc w:val="center"/>
        <w:tblInd w:w="0" w:type="dxa"/>
        <w:tblLayout w:type="fixed"/>
        <w:tblCellMar>
          <w:top w:w="0" w:type="dxa"/>
          <w:start w:w="0" w:type="dxa"/>
          <w:bottom w:w="0" w:type="dxa"/>
          <w:end w:w="0" w:type="dxa"/>
        </w:tblCellMar>
      </w:tblPr>
      <w:tblGrid>
        <w:gridCol w:w="1328"/>
        <w:gridCol w:w="1541"/>
        <w:gridCol w:w="1541"/>
        <w:gridCol w:w="1541"/>
        <w:gridCol w:w="1533"/>
      </w:tblGrid>
      <w:tr>
        <w:trPr>
          <w:trHeight w:val="270" w:hRule="atLeast"/>
        </w:trPr>
        <w:tc>
          <w:tcPr>
            <w:tcW w:w="1328" w:type="dxa"/>
            <w:tcBorders>
              <w:top w:val="single" w:sz="6" w:space="0" w:color="000000"/>
              <w:start w:val="single" w:sz="6" w:space="0" w:color="000000"/>
            </w:tcBorders>
          </w:tcPr>
          <w:p>
            <w:pPr>
              <w:pStyle w:val="Normal"/>
              <w:snapToGrid w:val="false"/>
              <w:spacing w:lineRule="auto" w:line="240"/>
              <w:ind w:hanging="0" w:end="0"/>
              <w:rPr>
                <w:rFonts w:ascii="Book Antiqua;Georgia" w:hAnsi="Book Antiqua;Georgia" w:cs="Book Antiqua;Georgia"/>
                <w:sz w:val="20"/>
              </w:rPr>
            </w:pPr>
            <w:r>
              <w:rPr>
                <w:rFonts w:cs="Book Antiqua;Georgia" w:ascii="Book Antiqua;Georgia" w:hAnsi="Book Antiqua;Georgia"/>
                <w:sz w:val="20"/>
              </w:rPr>
            </w:r>
          </w:p>
        </w:tc>
        <w:tc>
          <w:tcPr>
            <w:tcW w:w="6156" w:type="dxa"/>
            <w:gridSpan w:val="4"/>
            <w:tcBorders>
              <w:top w:val="single" w:sz="6" w:space="0" w:color="000000"/>
              <w:end w:val="single" w:sz="6" w:space="0" w:color="000000"/>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Effect of CSA On OFO Events</w:t>
            </w:r>
          </w:p>
        </w:tc>
      </w:tr>
      <w:tr>
        <w:trPr>
          <w:trHeight w:val="270" w:hRule="atLeast"/>
        </w:trPr>
        <w:tc>
          <w:tcPr>
            <w:tcW w:w="1328" w:type="dxa"/>
            <w:tcBorders>
              <w:start w:val="single" w:sz="6" w:space="0" w:color="000000"/>
            </w:tcBorders>
          </w:tcPr>
          <w:p>
            <w:pPr>
              <w:pStyle w:val="Normal"/>
              <w:snapToGrid w:val="false"/>
              <w:spacing w:lineRule="auto" w:line="240"/>
              <w:ind w:hanging="0" w:end="0"/>
              <w:rPr>
                <w:rFonts w:ascii="Book Antiqua;Georgia" w:hAnsi="Book Antiqua;Georgia" w:cs="Book Antiqua;Georgia"/>
                <w:sz w:val="20"/>
              </w:rPr>
            </w:pPr>
            <w:r>
              <w:rPr>
                <w:rFonts w:cs="Book Antiqua;Georgia" w:ascii="Book Antiqua;Georgia" w:hAnsi="Book Antiqua;Georgia"/>
                <w:sz w:val="20"/>
              </w:rPr>
            </w:r>
          </w:p>
        </w:tc>
        <w:tc>
          <w:tcPr>
            <w:tcW w:w="1541" w:type="dxa"/>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Actual</w:t>
            </w:r>
          </w:p>
        </w:tc>
        <w:tc>
          <w:tcPr>
            <w:tcW w:w="1541" w:type="dxa"/>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Projected</w:t>
            </w:r>
          </w:p>
        </w:tc>
        <w:tc>
          <w:tcPr>
            <w:tcW w:w="1541" w:type="dxa"/>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Actual</w:t>
            </w:r>
          </w:p>
        </w:tc>
        <w:tc>
          <w:tcPr>
            <w:tcW w:w="1533" w:type="dxa"/>
            <w:tcBorders>
              <w:end w:val="single" w:sz="6" w:space="0" w:color="000000"/>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Projected</w:t>
            </w:r>
          </w:p>
        </w:tc>
      </w:tr>
      <w:tr>
        <w:trPr>
          <w:trHeight w:val="270" w:hRule="atLeast"/>
        </w:trPr>
        <w:tc>
          <w:tcPr>
            <w:tcW w:w="1328" w:type="dxa"/>
            <w:tcBorders>
              <w:start w:val="single" w:sz="6" w:space="0" w:color="000000"/>
            </w:tcBorders>
          </w:tcPr>
          <w:p>
            <w:pPr>
              <w:pStyle w:val="Normal"/>
              <w:snapToGrid w:val="false"/>
              <w:spacing w:lineRule="auto" w:line="240"/>
              <w:ind w:hanging="0" w:end="0"/>
              <w:rPr>
                <w:rFonts w:ascii="Book Antiqua;Georgia" w:hAnsi="Book Antiqua;Georgia" w:cs="Book Antiqua;Georgia"/>
                <w:sz w:val="20"/>
              </w:rPr>
            </w:pPr>
            <w:r>
              <w:rPr>
                <w:rFonts w:cs="Book Antiqua;Georgia" w:ascii="Book Antiqua;Georgia" w:hAnsi="Book Antiqua;Georgia"/>
                <w:sz w:val="20"/>
              </w:rPr>
            </w:r>
          </w:p>
        </w:tc>
        <w:tc>
          <w:tcPr>
            <w:tcW w:w="1541" w:type="dxa"/>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OFO</w:t>
            </w:r>
          </w:p>
        </w:tc>
        <w:tc>
          <w:tcPr>
            <w:tcW w:w="1541" w:type="dxa"/>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OFO</w:t>
            </w:r>
          </w:p>
        </w:tc>
        <w:tc>
          <w:tcPr>
            <w:tcW w:w="1541" w:type="dxa"/>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OFO</w:t>
            </w:r>
          </w:p>
        </w:tc>
        <w:tc>
          <w:tcPr>
            <w:tcW w:w="1533" w:type="dxa"/>
            <w:tcBorders>
              <w:end w:val="single" w:sz="6" w:space="0" w:color="000000"/>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OFO</w:t>
            </w:r>
          </w:p>
        </w:tc>
      </w:tr>
      <w:tr>
        <w:trPr>
          <w:trHeight w:val="270" w:hRule="atLeast"/>
        </w:trPr>
        <w:tc>
          <w:tcPr>
            <w:tcW w:w="1328" w:type="dxa"/>
            <w:tcBorders>
              <w:start w:val="single" w:sz="6" w:space="0" w:color="000000"/>
            </w:tcBorders>
          </w:tcPr>
          <w:p>
            <w:pPr>
              <w:pStyle w:val="Normal"/>
              <w:snapToGrid w:val="false"/>
              <w:spacing w:lineRule="auto" w:line="240"/>
              <w:ind w:hanging="0" w:end="0"/>
              <w:rPr>
                <w:rFonts w:ascii="Book Antiqua;Georgia" w:hAnsi="Book Antiqua;Georgia" w:cs="Book Antiqua;Georgia"/>
                <w:sz w:val="20"/>
              </w:rPr>
            </w:pPr>
            <w:r>
              <w:rPr>
                <w:rFonts w:cs="Book Antiqua;Georgia" w:ascii="Book Antiqua;Georgia" w:hAnsi="Book Antiqua;Georgia"/>
                <w:sz w:val="20"/>
              </w:rPr>
            </w:r>
          </w:p>
        </w:tc>
        <w:tc>
          <w:tcPr>
            <w:tcW w:w="1541" w:type="dxa"/>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Occurrences</w:t>
            </w:r>
          </w:p>
        </w:tc>
        <w:tc>
          <w:tcPr>
            <w:tcW w:w="1541" w:type="dxa"/>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Occurrences</w:t>
            </w:r>
          </w:p>
        </w:tc>
        <w:tc>
          <w:tcPr>
            <w:tcW w:w="1541" w:type="dxa"/>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Avg Vol (dth)</w:t>
            </w:r>
          </w:p>
        </w:tc>
        <w:tc>
          <w:tcPr>
            <w:tcW w:w="1533" w:type="dxa"/>
            <w:tcBorders>
              <w:end w:val="single" w:sz="6" w:space="0" w:color="000000"/>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Avg Vol (dth)</w:t>
            </w:r>
          </w:p>
        </w:tc>
      </w:tr>
      <w:tr>
        <w:trPr>
          <w:trHeight w:val="270" w:hRule="atLeast"/>
        </w:trPr>
        <w:tc>
          <w:tcPr>
            <w:tcW w:w="1328" w:type="dxa"/>
            <w:tcBorders>
              <w:start w:val="single" w:sz="6" w:space="0" w:color="000000"/>
            </w:tcBorders>
          </w:tcPr>
          <w:p>
            <w:pPr>
              <w:pStyle w:val="Normal"/>
              <w:snapToGrid w:val="false"/>
              <w:spacing w:lineRule="auto" w:line="240"/>
              <w:ind w:hanging="0" w:end="0"/>
              <w:rPr>
                <w:rFonts w:ascii="Book Antiqua;Georgia" w:hAnsi="Book Antiqua;Georgia" w:cs="Book Antiqua;Georgia"/>
                <w:sz w:val="20"/>
              </w:rPr>
            </w:pPr>
            <w:r>
              <w:rPr>
                <w:rFonts w:cs="Book Antiqua;Georgia" w:ascii="Book Antiqua;Georgia" w:hAnsi="Book Antiqua;Georgia"/>
                <w:sz w:val="20"/>
              </w:rPr>
            </w:r>
          </w:p>
        </w:tc>
        <w:tc>
          <w:tcPr>
            <w:tcW w:w="1541" w:type="dxa"/>
            <w:tcBorders/>
          </w:tcPr>
          <w:p>
            <w:pPr>
              <w:pStyle w:val="Normal"/>
              <w:snapToGrid w:val="false"/>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r>
          </w:p>
        </w:tc>
        <w:tc>
          <w:tcPr>
            <w:tcW w:w="1541" w:type="dxa"/>
            <w:tcBorders/>
          </w:tcPr>
          <w:p>
            <w:pPr>
              <w:pStyle w:val="Normal"/>
              <w:snapToGrid w:val="false"/>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r>
          </w:p>
        </w:tc>
        <w:tc>
          <w:tcPr>
            <w:tcW w:w="1541" w:type="dxa"/>
            <w:tcBorders/>
          </w:tcPr>
          <w:p>
            <w:pPr>
              <w:pStyle w:val="Normal"/>
              <w:snapToGrid w:val="false"/>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r>
          </w:p>
        </w:tc>
        <w:tc>
          <w:tcPr>
            <w:tcW w:w="1533" w:type="dxa"/>
            <w:tcBorders>
              <w:end w:val="single" w:sz="6" w:space="0" w:color="000000"/>
            </w:tcBorders>
          </w:tcPr>
          <w:p>
            <w:pPr>
              <w:pStyle w:val="Normal"/>
              <w:snapToGrid w:val="false"/>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r>
          </w:p>
        </w:tc>
      </w:tr>
      <w:tr>
        <w:trPr>
          <w:trHeight w:val="270" w:hRule="atLeast"/>
        </w:trPr>
        <w:tc>
          <w:tcPr>
            <w:tcW w:w="1328" w:type="dxa"/>
            <w:tcBorders>
              <w:start w:val="single" w:sz="6" w:space="0" w:color="000000"/>
            </w:tcBorders>
          </w:tcPr>
          <w:p>
            <w:pPr>
              <w:pStyle w:val="Normal"/>
              <w:spacing w:lineRule="auto" w:line="240"/>
              <w:ind w:hanging="0" w:end="0"/>
              <w:rPr>
                <w:rFonts w:ascii="Book Antiqua;Georgia" w:hAnsi="Book Antiqua;Georgia" w:cs="Book Antiqua;Georgia"/>
                <w:sz w:val="20"/>
              </w:rPr>
            </w:pPr>
            <w:r>
              <w:rPr>
                <w:rFonts w:cs="Book Antiqua;Georgia" w:ascii="Book Antiqua;Georgia" w:hAnsi="Book Antiqua;Georgia"/>
                <w:sz w:val="20"/>
              </w:rPr>
              <w:t xml:space="preserve">Core </w:t>
            </w:r>
          </w:p>
        </w:tc>
        <w:tc>
          <w:tcPr>
            <w:tcW w:w="1541" w:type="dxa"/>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1</w:t>
            </w:r>
          </w:p>
        </w:tc>
        <w:tc>
          <w:tcPr>
            <w:tcW w:w="1541" w:type="dxa"/>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89</w:t>
            </w:r>
          </w:p>
        </w:tc>
        <w:tc>
          <w:tcPr>
            <w:tcW w:w="1541" w:type="dxa"/>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4,886</w:t>
            </w:r>
          </w:p>
        </w:tc>
        <w:tc>
          <w:tcPr>
            <w:tcW w:w="1533" w:type="dxa"/>
            <w:tcBorders>
              <w:end w:val="single" w:sz="6" w:space="0" w:color="000000"/>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189,104</w:t>
            </w:r>
          </w:p>
        </w:tc>
      </w:tr>
      <w:tr>
        <w:trPr>
          <w:trHeight w:val="270" w:hRule="atLeast"/>
        </w:trPr>
        <w:tc>
          <w:tcPr>
            <w:tcW w:w="1328" w:type="dxa"/>
            <w:tcBorders>
              <w:start w:val="single" w:sz="6" w:space="0" w:color="000000"/>
            </w:tcBorders>
          </w:tcPr>
          <w:p>
            <w:pPr>
              <w:pStyle w:val="Normal"/>
              <w:spacing w:lineRule="auto" w:line="240"/>
              <w:ind w:hanging="0" w:end="0"/>
              <w:rPr>
                <w:rFonts w:ascii="Book Antiqua;Georgia" w:hAnsi="Book Antiqua;Georgia" w:cs="Book Antiqua;Georgia"/>
                <w:sz w:val="20"/>
              </w:rPr>
            </w:pPr>
            <w:r>
              <w:rPr>
                <w:rFonts w:cs="Book Antiqua;Georgia" w:ascii="Book Antiqua;Georgia" w:hAnsi="Book Antiqua;Georgia"/>
                <w:sz w:val="20"/>
              </w:rPr>
              <w:t>Noncore</w:t>
            </w:r>
          </w:p>
        </w:tc>
        <w:tc>
          <w:tcPr>
            <w:tcW w:w="1541" w:type="dxa"/>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19</w:t>
            </w:r>
          </w:p>
        </w:tc>
        <w:tc>
          <w:tcPr>
            <w:tcW w:w="1541" w:type="dxa"/>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55</w:t>
            </w:r>
          </w:p>
        </w:tc>
        <w:tc>
          <w:tcPr>
            <w:tcW w:w="1541" w:type="dxa"/>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25,719</w:t>
            </w:r>
          </w:p>
        </w:tc>
        <w:tc>
          <w:tcPr>
            <w:tcW w:w="1533" w:type="dxa"/>
            <w:tcBorders>
              <w:end w:val="single" w:sz="6" w:space="0" w:color="000000"/>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128,063</w:t>
            </w:r>
          </w:p>
        </w:tc>
      </w:tr>
      <w:tr>
        <w:trPr>
          <w:trHeight w:val="270" w:hRule="atLeast"/>
        </w:trPr>
        <w:tc>
          <w:tcPr>
            <w:tcW w:w="1328" w:type="dxa"/>
            <w:tcBorders>
              <w:start w:val="single" w:sz="6" w:space="0" w:color="000000"/>
            </w:tcBorders>
          </w:tcPr>
          <w:p>
            <w:pPr>
              <w:pStyle w:val="Normal"/>
              <w:spacing w:lineRule="auto" w:line="240"/>
              <w:ind w:hanging="0" w:end="0"/>
              <w:rPr>
                <w:rFonts w:ascii="Book Antiqua;Georgia" w:hAnsi="Book Antiqua;Georgia" w:cs="Book Antiqua;Georgia"/>
                <w:sz w:val="20"/>
              </w:rPr>
            </w:pPr>
            <w:r>
              <w:rPr>
                <w:rFonts w:eastAsia="Book Antiqua;Georgia" w:cs="Book Antiqua;Georgia" w:ascii="Book Antiqua;Georgia" w:hAnsi="Book Antiqua;Georgia"/>
                <w:sz w:val="20"/>
              </w:rPr>
              <w:t xml:space="preserve">   </w:t>
            </w:r>
            <w:r>
              <w:rPr>
                <w:rFonts w:cs="Book Antiqua;Georgia" w:ascii="Book Antiqua;Georgia" w:hAnsi="Book Antiqua;Georgia"/>
                <w:sz w:val="20"/>
              </w:rPr>
              <w:t>Total</w:t>
            </w:r>
          </w:p>
        </w:tc>
        <w:tc>
          <w:tcPr>
            <w:tcW w:w="1541" w:type="dxa"/>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19</w:t>
            </w:r>
          </w:p>
        </w:tc>
        <w:tc>
          <w:tcPr>
            <w:tcW w:w="1541" w:type="dxa"/>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137</w:t>
            </w:r>
          </w:p>
        </w:tc>
        <w:tc>
          <w:tcPr>
            <w:tcW w:w="1541" w:type="dxa"/>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25,976</w:t>
            </w:r>
          </w:p>
        </w:tc>
        <w:tc>
          <w:tcPr>
            <w:tcW w:w="1533" w:type="dxa"/>
            <w:tcBorders>
              <w:end w:val="single" w:sz="6" w:space="0" w:color="000000"/>
            </w:tcBorders>
          </w:tcPr>
          <w:p>
            <w:pPr>
              <w:pStyle w:val="Normal"/>
              <w:spacing w:lineRule="auto" w:line="240"/>
              <w:ind w:hanging="0" w:end="0"/>
              <w:jc w:val="center"/>
              <w:rPr>
                <w:rFonts w:ascii="Book Antiqua;Georgia" w:hAnsi="Book Antiqua;Georgia" w:cs="Book Antiqua;Georgia"/>
                <w:sz w:val="20"/>
              </w:rPr>
            </w:pPr>
            <w:r>
              <w:rPr>
                <w:rFonts w:cs="Book Antiqua;Georgia" w:ascii="Book Antiqua;Georgia" w:hAnsi="Book Antiqua;Georgia"/>
                <w:sz w:val="20"/>
              </w:rPr>
              <w:t>161,037</w:t>
            </w:r>
          </w:p>
        </w:tc>
      </w:tr>
      <w:tr>
        <w:trPr>
          <w:trHeight w:val="270" w:hRule="atLeast"/>
        </w:trPr>
        <w:tc>
          <w:tcPr>
            <w:tcW w:w="1328" w:type="dxa"/>
            <w:tcBorders>
              <w:start w:val="single" w:sz="6" w:space="0" w:color="000000"/>
            </w:tcBorders>
          </w:tcPr>
          <w:p>
            <w:pPr>
              <w:pStyle w:val="Normal"/>
              <w:snapToGrid w:val="false"/>
              <w:spacing w:lineRule="auto" w:line="240"/>
              <w:ind w:hanging="0" w:end="0"/>
              <w:rPr>
                <w:rFonts w:ascii="Book Antiqua;Georgia" w:hAnsi="Book Antiqua;Georgia" w:cs="Book Antiqua;Georgia"/>
                <w:sz w:val="20"/>
              </w:rPr>
            </w:pPr>
            <w:r>
              <w:rPr>
                <w:rFonts w:cs="Book Antiqua;Georgia" w:ascii="Book Antiqua;Georgia" w:hAnsi="Book Antiqua;Georgia"/>
                <w:sz w:val="20"/>
              </w:rPr>
            </w:r>
          </w:p>
        </w:tc>
        <w:tc>
          <w:tcPr>
            <w:tcW w:w="1541" w:type="dxa"/>
            <w:tcBorders/>
          </w:tcPr>
          <w:p>
            <w:pPr>
              <w:pStyle w:val="Normal"/>
              <w:snapToGrid w:val="false"/>
              <w:spacing w:lineRule="auto" w:line="240"/>
              <w:ind w:hanging="0" w:end="0"/>
              <w:rPr>
                <w:rFonts w:ascii="Book Antiqua;Georgia" w:hAnsi="Book Antiqua;Georgia" w:cs="Book Antiqua;Georgia"/>
                <w:sz w:val="20"/>
              </w:rPr>
            </w:pPr>
            <w:r>
              <w:rPr>
                <w:rFonts w:cs="Book Antiqua;Georgia" w:ascii="Book Antiqua;Georgia" w:hAnsi="Book Antiqua;Georgia"/>
                <w:sz w:val="20"/>
              </w:rPr>
            </w:r>
          </w:p>
        </w:tc>
        <w:tc>
          <w:tcPr>
            <w:tcW w:w="1541" w:type="dxa"/>
            <w:tcBorders/>
          </w:tcPr>
          <w:p>
            <w:pPr>
              <w:pStyle w:val="Normal"/>
              <w:snapToGrid w:val="false"/>
              <w:spacing w:lineRule="auto" w:line="240"/>
              <w:ind w:hanging="0" w:end="0"/>
              <w:rPr>
                <w:rFonts w:ascii="Book Antiqua;Georgia" w:hAnsi="Book Antiqua;Georgia" w:cs="Book Antiqua;Georgia"/>
                <w:sz w:val="20"/>
              </w:rPr>
            </w:pPr>
            <w:r>
              <w:rPr>
                <w:rFonts w:cs="Book Antiqua;Georgia" w:ascii="Book Antiqua;Georgia" w:hAnsi="Book Antiqua;Georgia"/>
                <w:sz w:val="20"/>
              </w:rPr>
            </w:r>
          </w:p>
        </w:tc>
        <w:tc>
          <w:tcPr>
            <w:tcW w:w="1541" w:type="dxa"/>
            <w:tcBorders/>
          </w:tcPr>
          <w:p>
            <w:pPr>
              <w:pStyle w:val="Normal"/>
              <w:snapToGrid w:val="false"/>
              <w:spacing w:lineRule="auto" w:line="240"/>
              <w:ind w:hanging="0" w:end="0"/>
              <w:rPr>
                <w:rFonts w:ascii="Book Antiqua;Georgia" w:hAnsi="Book Antiqua;Georgia" w:cs="Book Antiqua;Georgia"/>
                <w:sz w:val="20"/>
              </w:rPr>
            </w:pPr>
            <w:r>
              <w:rPr>
                <w:rFonts w:cs="Book Antiqua;Georgia" w:ascii="Book Antiqua;Georgia" w:hAnsi="Book Antiqua;Georgia"/>
                <w:sz w:val="20"/>
              </w:rPr>
            </w:r>
          </w:p>
        </w:tc>
        <w:tc>
          <w:tcPr>
            <w:tcW w:w="1533" w:type="dxa"/>
            <w:tcBorders>
              <w:end w:val="single" w:sz="6" w:space="0" w:color="000000"/>
            </w:tcBorders>
          </w:tcPr>
          <w:p>
            <w:pPr>
              <w:pStyle w:val="Normal"/>
              <w:snapToGrid w:val="false"/>
              <w:spacing w:lineRule="auto" w:line="240"/>
              <w:ind w:hanging="0" w:end="0"/>
              <w:rPr>
                <w:rFonts w:ascii="Book Antiqua;Georgia" w:hAnsi="Book Antiqua;Georgia" w:cs="Book Antiqua;Georgia"/>
                <w:sz w:val="20"/>
              </w:rPr>
            </w:pPr>
            <w:r>
              <w:rPr>
                <w:rFonts w:cs="Book Antiqua;Georgia" w:ascii="Book Antiqua;Georgia" w:hAnsi="Book Antiqua;Georgia"/>
                <w:sz w:val="20"/>
              </w:rPr>
            </w:r>
          </w:p>
        </w:tc>
      </w:tr>
      <w:tr>
        <w:trPr>
          <w:trHeight w:val="270" w:hRule="atLeast"/>
        </w:trPr>
        <w:tc>
          <w:tcPr>
            <w:tcW w:w="7484" w:type="dxa"/>
            <w:gridSpan w:val="5"/>
            <w:tcBorders>
              <w:start w:val="single" w:sz="6" w:space="0" w:color="000000"/>
              <w:bottom w:val="single" w:sz="6" w:space="0" w:color="000000"/>
              <w:end w:val="single" w:sz="6" w:space="0" w:color="000000"/>
            </w:tcBorders>
          </w:tcPr>
          <w:p>
            <w:pPr>
              <w:pStyle w:val="Normal"/>
              <w:spacing w:lineRule="auto" w:line="240"/>
              <w:ind w:hanging="0" w:end="0"/>
              <w:rPr>
                <w:rFonts w:ascii="Book Antiqua;Georgia" w:hAnsi="Book Antiqua;Georgia" w:cs="Book Antiqua;Georgia"/>
                <w:sz w:val="20"/>
              </w:rPr>
            </w:pPr>
            <w:r>
              <w:rPr>
                <w:rFonts w:cs="Book Antiqua;Georgia" w:ascii="Book Antiqua;Georgia" w:hAnsi="Book Antiqua;Georgia"/>
                <w:sz w:val="20"/>
              </w:rPr>
              <w:t>/1 Uses 1999 recorded data for both recorded and projected</w:t>
            </w:r>
          </w:p>
        </w:tc>
      </w:tr>
    </w:tbl>
    <w:p>
      <w:pPr>
        <w:pStyle w:val="Header"/>
        <w:tabs>
          <w:tab w:val="clear" w:pos="4320"/>
          <w:tab w:val="clear" w:pos="8640"/>
        </w:tabs>
        <w:rPr/>
      </w:pPr>
      <w:r>
        <w:rPr/>
      </w:r>
    </w:p>
    <w:p>
      <w:pPr>
        <w:pStyle w:val="Header"/>
        <w:tabs>
          <w:tab w:val="clear" w:pos="4320"/>
          <w:tab w:val="clear" w:pos="8640"/>
        </w:tabs>
        <w:ind w:hanging="0" w:end="0"/>
        <w:rPr/>
      </w:pPr>
      <w:r>
        <w:rPr/>
        <w:t>As the table clearly demonstrates, the core is hit the hardest with an 89-fold increase in OFO events, going from 1 to 89 events, and an 39-fold increase in the average overnomination volume, going from 4,886 dth to 189,104 dth.  The overnomination volume primarily represents supplies of inexpensive gas that the core would be less able to obtain during the spring and early summer months when the overall throughput on the system is relatively low.  The core would have to purchase additional injection capacity in order to accommodate its gas-purchasing schedule.  Noncore customers also see nearly a tripling of their OFO events, in going from 19 to 55 occurrences.  There is a particularly dramatic increase in intensity of noncore events from an average volume of 25,719 dth to 128,063 dth.</w:t>
      </w:r>
    </w:p>
    <w:p>
      <w:pPr>
        <w:pStyle w:val="Header"/>
        <w:tabs>
          <w:tab w:val="clear" w:pos="4320"/>
          <w:tab w:val="clear" w:pos="8640"/>
        </w:tabs>
        <w:rPr/>
      </w:pPr>
      <w:r>
        <w:rPr/>
        <w:t xml:space="preserve">The reduction in noncore load balancing resources from 329.4 MMcf/d to 250 MMcf/d pushes up the number of OFOs that would be expected under the CSA rules, which have the noncore balancing alone.  The 55 noncore OFOs that are projected for the CSA-proposed 250 MMcf/d of injection capacity would drop to 41 noncore OFOs if the injection capacity for noncore balancing was simply left at the 329.4 MMcf/d level adopted in the 1999 BCAP.  </w:t>
      </w:r>
    </w:p>
    <w:p>
      <w:pPr>
        <w:pStyle w:val="Header"/>
        <w:tabs>
          <w:tab w:val="clear" w:pos="4320"/>
          <w:tab w:val="clear" w:pos="8640"/>
        </w:tabs>
        <w:rPr/>
      </w:pPr>
      <w:r>
        <w:rPr/>
        <w:t>Clearly, if the Commission adopts the CSA’s approach to segment balancing, it will be throwing out all of the balancing synergies on the system and allowing SoCalGas to capitalize on those lost synergies.  SoCalGas will have greater demand for its hub and storage services if core and noncore customers are not allowed to balance as a whole system.  Customers, not shareholders, should benefit from the efficiencies that exist by having customers with diverse load patterns on the system simultaneously.</w:t>
      </w:r>
    </w:p>
    <w:p>
      <w:pPr>
        <w:pStyle w:val="Heading2"/>
        <w:ind w:firstLine="720" w:start="0"/>
        <w:rPr/>
      </w:pPr>
      <w:bookmarkStart w:id="41" w:name="__RefHeading___Toc483408727"/>
      <w:bookmarkEnd w:id="41"/>
      <w:r>
        <w:rPr/>
        <w:t>Hub Services Should Be Left in the GCIM until January 1, 2003 Consistent with the Provisions of the IS.   (Florio)</w:t>
      </w:r>
    </w:p>
    <w:p>
      <w:pPr>
        <w:pStyle w:val="Normal"/>
        <w:rPr/>
      </w:pPr>
      <w:r>
        <w:rPr/>
        <w:t xml:space="preserve">SoCalGas currently provides interruptible parking, loaning, and wheeling gas services, which are known as “hub” services.  Currently, revenues from these hub services are shared between core ratepayers and SoCalGas’ shareholders through the GCIM.  Hub revenues have recently increased significantly in size, with the hub revenues in the last GCIM period amounting to about $7.1 million, in contrast to the cumulative $5.4 million for the previous four GCIM periods.  D.99-07-015, slip op. at 48, ftnt. 10.  Pocta, Ex.4 at 17.  The changes contemplated by the CSA could spur even greater use of hub services.  </w:t>
      </w:r>
    </w:p>
    <w:p>
      <w:pPr>
        <w:pStyle w:val="Normal"/>
        <w:rPr/>
      </w:pPr>
      <w:r>
        <w:rPr/>
        <w:t xml:space="preserve">The CSA would restrict core hub services to those services that solely use core assets and allow SoCalGas Operations to provide competing hub services.  </w:t>
      </w:r>
    </w:p>
    <w:p>
      <w:pPr>
        <w:pStyle w:val="BlockText"/>
        <w:rPr/>
      </w:pPr>
      <w:r>
        <w:rPr/>
        <w:t>SoCalGas’ Gas Acquisition Department will continue to be allowed to offer hub services.  It will be restricted to using storage capacity allocated to it and any other storage rights it may acquire in the secondary market.  It will be restricted to the use of only those storage capacities for all purposes, including balancing its own purchases and deliveries and its provision of hub services….</w:t>
      </w:r>
    </w:p>
    <w:p>
      <w:pPr>
        <w:pStyle w:val="BlockText"/>
        <w:rPr/>
      </w:pPr>
      <w:r>
        <w:rPr/>
        <w:t>…</w:t>
      </w:r>
      <w:r>
        <w:rPr/>
        <w:t xml:space="preserve">.This Settlement agreement provides that SoCalGas may offer hub services with this uncontracted-for and unassigned storage capacity through a “pipeline” department of SoCalGas (such as its Gas Operations Department) that is wholly separate from SoCalGas’ Gas Acquisition Department. </w:t>
      </w:r>
    </w:p>
    <w:p>
      <w:pPr>
        <w:pStyle w:val="PlainText"/>
        <w:rPr/>
      </w:pPr>
      <w:r>
        <w:rPr/>
      </w:r>
    </w:p>
    <w:p>
      <w:pPr>
        <w:pStyle w:val="PlainText"/>
        <w:rPr/>
      </w:pPr>
      <w:r>
        <w:rPr/>
        <w:t>CSA, § 4.1.3.  In summary, SoCalGas would be able to use unutilized storage assets on its system to provide hub services.  Hub rates would be uncapped completely by April 1, 2003.  All revenues from these hub services would flow to the shareholders.</w:t>
      </w:r>
    </w:p>
    <w:p>
      <w:pPr>
        <w:pStyle w:val="Normal"/>
        <w:rPr/>
      </w:pPr>
      <w:r>
        <w:rPr/>
        <w:t>The IS provides that prior to January 1, 2003 no changes are to be made to the “way the tariff language…applies transportation and storage rules to the SoCalGas Hub” and there was to be no “removal of Hub revenues from the SoCalGas Gas Cost Incentive Mechanism”…  IS, § IX.  Currently, SoCalGas shareholders get a share of the hub revenues through the GCIM, but the core benefits from these revenues as well.  Hub revenues should remain entirely in the GCIM, until at least 2003, consistent with the terms of the IS.  The CSA proposal to create two hubs is simply a CSA attempt to divert more funds from ratepayers to SoCalGas shareholders.</w:t>
      </w:r>
    </w:p>
    <w:p>
      <w:pPr>
        <w:pStyle w:val="Heading2"/>
        <w:ind w:firstLine="720" w:start="0"/>
        <w:rPr/>
      </w:pPr>
      <w:bookmarkStart w:id="42" w:name="__RefHeading___Toc483408728"/>
      <w:bookmarkEnd w:id="42"/>
      <w:r>
        <w:rPr/>
        <w:t>The Service Interruption Credit Should Be Retained.  (Florio)</w:t>
      </w:r>
    </w:p>
    <w:p>
      <w:pPr>
        <w:pStyle w:val="Normal"/>
        <w:rPr/>
      </w:pPr>
      <w:r>
        <w:rPr/>
        <w:t xml:space="preserve">CS would erroneously eliminate the Service Interruption Credit (“SIC”) that was approved in D.91-11-025, Slip Op. at 29-31; Appendix B, at 14-16 (November 6 1991).  Under the SIC provisions, if a firm intrastate transmission customer experiences more than one curtailment during a ten-year period, the utility shall provide the customer with a service interruption credit of $0.25 per therm of gas that was curtailed.  The maximum aggregate SIC obligation of SoCalGas for any calendar year shall be $5,000,000.  </w:t>
      </w:r>
      <w:r>
        <w:rPr>
          <w:i/>
        </w:rPr>
        <w:t>See</w:t>
      </w:r>
      <w:r>
        <w:rPr/>
        <w:t>, SoCalGas Tariff, Rule No. 23.L; D.91-11-025, Appendix B at 15.</w:t>
      </w:r>
    </w:p>
    <w:p>
      <w:pPr>
        <w:pStyle w:val="Normal"/>
        <w:rPr/>
      </w:pPr>
      <w:r>
        <w:rPr/>
        <w:t xml:space="preserve">The purpose of the SIC provision is to ensure that SoCalGas would have an incentive to invest in facilities that would be necessary to avoid curtailment of firm intrastate transmission service customers:  “The purpose of the mechanism is to ensure customers that firm intrastate service is a highly reliable service.”  D.91-11-025, at 29.  Maintenance of highly reliable firm intrastate transmission service was particularly important to SoCalGas Utility Electric Generation (“UEG”) customers.  In adopting the SIC, the Commission noted Edison’s comment that generators needed the SIC because of air quality regulations under which the UEGs operate.  The Commission also noted TURN’s comment that the SIC was necessary to assure that southern California UEGs would not have to invest in costly alternative fuel facilities.  The SIC was intended to provide an incentive to SoCalGas to maintain a high quality of firm intrastate transmission service that would assure, </w:t>
      </w:r>
      <w:r>
        <w:rPr>
          <w:u w:val="single"/>
        </w:rPr>
        <w:t>inter</w:t>
      </w:r>
      <w:r>
        <w:rPr/>
        <w:t xml:space="preserve"> </w:t>
      </w:r>
      <w:r>
        <w:rPr>
          <w:u w:val="single"/>
        </w:rPr>
        <w:t>alia</w:t>
      </w:r>
      <w:r>
        <w:rPr/>
        <w:t>, the generators would not have to maintain alternative fuel facilities.</w:t>
      </w:r>
    </w:p>
    <w:p>
      <w:pPr>
        <w:pStyle w:val="Normal"/>
        <w:rPr/>
      </w:pPr>
      <w:r>
        <w:rPr/>
        <w:t>The SIC was an important provision of the Capacity Brokering settlement that was negotiated in 1991.  SoCalGas customers still had fresh in their memories the chronic curtailments that, particularly, electric generators had experienced in the late 1980’s.  No party opposed the SIC.  D.91-11-025, at 29.</w:t>
      </w:r>
    </w:p>
    <w:p>
      <w:pPr>
        <w:pStyle w:val="Normal"/>
        <w:rPr/>
      </w:pPr>
      <w:r>
        <w:rPr/>
        <w:t>Apparently, the SIC has worked.  There has been no reoccurrence of the curtailments that were chronic during the late 1980’s.  SoCalGas, under both the CSA and the PI, will continue to be obligated to provide firm intrastate transmission service.  This is appropriate.  Customers continue to need assurance that SoCalGas firm intrastate transmission service will, indeed, be firm.  This is particularly true of electric generation customers that otherwise may need to install alternative fuel facilities for air quality regulation purposes.  Insofar as nothing in either the CSA or the PI eliminates SoCalGas’ obligation to provide firm intrastate transmission service to customers that desire it, and insofar as nothing eliminates the need for SoCalGas to be provided with an incentive to install such facilities as maybe necessary from time to time to maintain such service, the provisions of the CSA that would permit SoCalGas to delete the SIC should be rejected.</w:t>
      </w:r>
    </w:p>
    <w:p>
      <w:pPr>
        <w:pStyle w:val="Heading1"/>
        <w:ind w:firstLine="720" w:start="0"/>
        <w:rPr/>
      </w:pPr>
      <w:bookmarkStart w:id="43" w:name="__RefHeading___Toc483408729"/>
      <w:bookmarkEnd w:id="43"/>
      <w:r>
        <w:rPr/>
        <w:t>Edison and SDG&amp;E Should Have to Pay the Ratepayers Consideration in Order to Be Released from Their Wheeler Ridge Access Agreements per D.00-04-060.  (Yap)</w:t>
      </w:r>
    </w:p>
    <w:p>
      <w:pPr>
        <w:pStyle w:val="Normal"/>
        <w:rPr/>
      </w:pPr>
      <w:r>
        <w:rPr/>
        <w:t>The CSA would forgive both Edison and SDG&amp;E their contract obligations under their Wheeler Ridge Access Agreements.  Edison’s agreement would be cancelled and SDG&amp;E’s agreement would be suspended with no financial obligation to SoCalGas during the term of the CSA, which ends in August 31, 2006.  CSA, § 1.1.3.6.6.  This provision of the CSA is in violation of the Commission’s directive in the 1999 SoCalGas BCAP.</w:t>
      </w:r>
    </w:p>
    <w:p>
      <w:pPr>
        <w:pStyle w:val="Normal"/>
        <w:rPr/>
      </w:pPr>
      <w:r>
        <w:rPr/>
        <w:t xml:space="preserve">SoCalGas has long-term contracts for firm access at Wheeler Ridge with Edison and SDG&amp;E.  The contract with Edison provides for firm access of 198,863 dth per day.  The contract with SDG&amp;E provides for firm access of 51,932 dth per day.  Attachment B to SoCalGas Advice Letters 2225 and 2226, filed October 13, 1993.  The two contracts took effect on November 1, 1993, with a thirteen-year life.  SoCalGas Advice Letters 2225 &amp; 2226.  Therefore, the contracts will expire on October 31, 2006.  Assuming there is no change to the current demand charge rate, the remaining payments amount to about $1.4 million for SDG&amp;E and about $5.4 million for Edison.  </w:t>
      </w:r>
    </w:p>
    <w:p>
      <w:pPr>
        <w:pStyle w:val="Normal"/>
        <w:rPr/>
      </w:pPr>
      <w:r>
        <w:rPr/>
        <w:t>In the 1999 BCAP, SoCalGas proposed to add the costs of the Wheeler Ridge facilities to the overall transmission revenue requirement and to cease maintaining an incremental revenue requirement and incremental rate for Wheeler Ridge interconnection service.  Also, the company proposed to cancel the Wheeler Ridge Access Agreements and eliminate any obligation that Edison and SDG&amp;E had to pay under those agreements.  Although the Commission approved of shifting the Wheeler Ridge facilities to a roll-in rate treatment, it did not approve of SoCalGas’ proposal to simply forgive the obligations that Edison and SDG&amp;E faced under the contracts.  Instead, the Commission stated:</w:t>
      </w:r>
    </w:p>
    <w:p>
      <w:pPr>
        <w:pStyle w:val="BlockText"/>
        <w:rPr/>
      </w:pPr>
      <w:r>
        <w:rPr/>
        <w:t>We see no need to condition our authorization of rolled-in costs of the Wheeler Ridge facilities into overall transportation rates upon termination, buy-out, or modification of SDG&amp;E’s and SCE’s contracts.  SDG&amp;E desires to continue its contract; we have no evidence of a compelling reason why it shouldn’t.  SCE desires to terminate its contract; we have no evidence why that desire should affect our decision to roll-in costs.  SoCalGas and SCE may rescind their contract, but only if there is consideration for any release of potential ratepayer benefits.</w:t>
      </w:r>
    </w:p>
    <w:p>
      <w:pPr>
        <w:pStyle w:val="BlockText"/>
        <w:rPr/>
      </w:pPr>
      <w:r>
        <w:rPr/>
      </w:r>
    </w:p>
    <w:p>
      <w:pPr>
        <w:pStyle w:val="Normal"/>
        <w:ind w:hanging="0" w:end="0"/>
        <w:rPr/>
      </w:pPr>
      <w:r>
        <w:rPr/>
        <w:t>D.00-04-060, slip op. at 70.  It is quite clear that the Commission expected SDG&amp;E’s obligations to pay under its contract to continue.  Furthermore, SoCalGas was explicitly directed to obtain “some consideration” in exchange for releasing Edison from its Wheeler Ridge obligations.  In direct contradiction of D.00-06-040, the CSA fails to give ratepayers any consideration whatsoever for the release of Edison’s and SDG&amp;E’s contract obligations.  This is completely inappropriate.</w:t>
      </w:r>
    </w:p>
    <w:p>
      <w:pPr>
        <w:pStyle w:val="Heading1"/>
        <w:ind w:firstLine="720" w:start="0"/>
        <w:rPr/>
      </w:pPr>
      <w:bookmarkStart w:id="44" w:name="__RefHeading___Toc483408730"/>
      <w:bookmarkEnd w:id="44"/>
      <w:r>
        <w:rPr/>
        <w:t>Unbundling for CATs (Florio)</w:t>
      </w:r>
    </w:p>
    <w:p>
      <w:pPr>
        <w:pStyle w:val="Heading2"/>
        <w:ind w:firstLine="720" w:start="0"/>
        <w:rPr/>
      </w:pPr>
      <w:bookmarkStart w:id="45" w:name="__RefHeading___Toc483408731"/>
      <w:r>
        <w:rPr/>
        <w:t>How Much Should Be Done for CATs?</w:t>
      </w:r>
      <w:bookmarkEnd w:id="45"/>
      <w:r>
        <w:rPr/>
        <w:t xml:space="preserve">  </w:t>
      </w:r>
    </w:p>
    <w:p>
      <w:pPr>
        <w:pStyle w:val="Normal"/>
        <w:rPr/>
      </w:pPr>
      <w:r>
        <w:rPr/>
        <w:t xml:space="preserve">The two settlements now before the Commission offer two significantly different views of how the Commission should treat CATs.  The IS/PI offers significant unbundling of interstate transportation and storage for CATs, but limits the cost shifts that CATs are allowed to impose on noncore and bundled core customers.  The underlying philosophy is to allow and even encourage competition within the core market, but not to significantly subsidize competitors.  The CSA, on the other hand, would provide what amounts to an explicit subsidy for CATs by allowing them to shift substantial stranded interstate pipeline capacity costs to bundled core customers and noncore customers who neither participate in nor benefit from the core aggregation program.  The proponents of the IS/PI believe that this degree of subsidy is unprecedented and unwarranted.  Encouraging competition should not mean subsidizing competitors, especially when those competitors are under no obligation to pass such subsidies along to their ultimate customers.  </w:t>
      </w:r>
    </w:p>
    <w:p>
      <w:pPr>
        <w:pStyle w:val="Heading2"/>
        <w:ind w:firstLine="720" w:start="0"/>
        <w:rPr/>
      </w:pPr>
      <w:bookmarkStart w:id="46" w:name="__RefHeading___Toc483408732"/>
      <w:bookmarkEnd w:id="46"/>
      <w:r>
        <w:rPr/>
        <w:t>Interstate Capacity Unbundling for CATs.</w:t>
      </w:r>
    </w:p>
    <w:p>
      <w:pPr>
        <w:pStyle w:val="Normal"/>
        <w:rPr/>
      </w:pPr>
      <w:r>
        <w:rPr/>
        <w:t xml:space="preserve">Both of the settlements would unbundle interstate pipeline capacity costs from the rates paid by core transporters, consistent with this Commission’s long-expressed desires.  Where the agreements differ is in the assignment of the stranded costs that are likely to result from interstate unbundling for CATs.  Since the market price that SoCalGas is able to obtain by brokering the pipeline capacity that CATs no longer use is likely to be below the tariff rate that SoCal is obligated to pay the pipeline for the duration of the contract, unbundling for CATs will almost inevitably “strand” some of the costs of SoCalGas’ interstate capacity obligations during the term of these settlements.  </w:t>
      </w:r>
    </w:p>
    <w:p>
      <w:pPr>
        <w:pStyle w:val="Normal"/>
        <w:rPr/>
      </w:pPr>
      <w:r>
        <w:rPr/>
        <w:t xml:space="preserve">Under the IS/PI, the stranded costs that result from CAT unbundling will be allocated 50/50 between CAT customers and bundled core sales customers.  Assuming a 10% overall core market share for CATs, the total pipeline demand charges “at risk” would be about $12.5 million per year (10% of the roughly $125 million annual cost of the core interstate pipeline capacity reservation of 1044 MMcf/d).  Assuming that the capacity can be brokered by SoCalGas at about 50% of the pipeline tariff rate, which is consistent with recent experience, the stranded costs resulting from unbundling would amount to about $6.25 million per year at a 10% CAT market share.  Thus, under IS/PI, bundled core sales customers would be forced to pay a little over $3 million in stranded costs that are directly attributable to unbundling for CATs.  </w:t>
      </w:r>
    </w:p>
    <w:p>
      <w:pPr>
        <w:pStyle w:val="Normal"/>
        <w:rPr/>
      </w:pPr>
      <w:r>
        <w:rPr/>
        <w:t xml:space="preserve">Within the bundled core group, the IS/PI would allocate these dollars between the residential and commercial/industrial (“C/I”) classes annually based on the ratio of their participation in the CAT program, which in recent years has been about 15%/85%.  This approach reasonably reflects that relative split of any “competitive benefits” that the two classes might realize as a result of the existence of the CAT program.  Thus, bundled residential customers would pay about half a million dollars per year, and bundled C/I customers about $2.6 million.  </w:t>
      </w:r>
    </w:p>
    <w:p>
      <w:pPr>
        <w:pStyle w:val="Normal"/>
        <w:rPr/>
      </w:pPr>
      <w:r>
        <w:rPr/>
        <w:t xml:space="preserve">It is essential to point out that shifting these stranded costs to bundled customers represents a subsidy to the CAT program that this Commission has not allowed with respect to the electric direct access program.  On the electric side, customers who leave bundled UDC service to take direct access do not receive any stranded cost subsidy from bundled service customers.  Stranded costs are unbundled from the rates of </w:t>
      </w:r>
      <w:r>
        <w:rPr>
          <w:u w:val="single"/>
        </w:rPr>
        <w:t>all</w:t>
      </w:r>
      <w:r>
        <w:rPr/>
        <w:t xml:space="preserve"> customers and then allocated on an equal basis to both bundled service and direct access users.  Thus, an electric customer cannot avoid any stranded cost liability by electing direct access.  In contrast, both settlements in this case leave the costs of stranded interstate capacity bundled in the rates paid by utility procurement customers, so that any allocation of the costs stranded by CAT customers back to the bundled core represents a cost shift.  </w:t>
      </w:r>
    </w:p>
    <w:p>
      <w:pPr>
        <w:pStyle w:val="Normal"/>
        <w:rPr/>
      </w:pPr>
      <w:r>
        <w:rPr/>
        <w:t>Under the CSA this cost shift would be much larger.  During the period prior to December 31, 2001, CAT stranded costs would be allocated 50/50 between core and noncore, subject to a noncore cap of $2 million in 2000 and $5 million in 2001.  Thus, again assuming 10% CAT market share and brokering at 50% of the tariff rate, both the core and noncore would pay about $3.125 million annually in stranded costs.  Within the core class, however, bundled customers would pay about $2.8 million and CAT customers only a little over $300,000.  And within the bundled group, residential customers would pay about $2.1 million and C/I customers about $700,000.</w:t>
      </w:r>
    </w:p>
    <w:p>
      <w:pPr>
        <w:pStyle w:val="Normal"/>
        <w:rPr/>
      </w:pPr>
      <w:r>
        <w:rPr/>
        <w:t xml:space="preserve">From January 1, 2002, onward, the CSA would eliminate the noncore contribution to CAT stranded costs.  Again assuming a total of about $6.25 million in CAT stranded costs, roughly the first $4.4 million of such costs would be allocated to all core customers by equal cents per therm, or about $3.3 million to residential and $1.1 million to C/I.  The balance would be allocated based the percentage of CAT market share in each core class, so assuming the same 15%/85% ratio, residential would pay another $275,000 and C/I an additional $1.6 million.  The overall totals would thus be about $3.6 million residential and $2.7 million C/I.  But only 10% of the total stranded costs (about $625,000) would be paid by the CAT customers themselves, while the remaining $5.6 million would be shifted to bundled sales customers.  This represents a subsidy to the CAT program that is 80% larger than under the IS/PI.  </w:t>
      </w:r>
    </w:p>
    <w:p>
      <w:pPr>
        <w:pStyle w:val="Normal"/>
        <w:rPr/>
      </w:pPr>
      <w:r>
        <w:rPr/>
        <w:t xml:space="preserve">The proponents of the IS/PI do not believe that a subsidy of this magnitude can be justified.  Bundled service customers should not have to bear significant cost shifts as a result of other customers opting for CAT service.  </w:t>
      </w:r>
    </w:p>
    <w:p>
      <w:pPr>
        <w:pStyle w:val="Heading2"/>
        <w:ind w:firstLine="720" w:start="0"/>
        <w:rPr/>
      </w:pPr>
      <w:bookmarkStart w:id="47" w:name="__RefHeading___Toc483408733"/>
      <w:bookmarkEnd w:id="47"/>
      <w:r>
        <w:rPr/>
        <w:t>Storage Unbundling for CATs.</w:t>
      </w:r>
    </w:p>
    <w:p>
      <w:pPr>
        <w:pStyle w:val="Normal"/>
        <w:rPr/>
      </w:pPr>
      <w:r>
        <w:rPr/>
        <w:t xml:space="preserve">Both settlements would also provide for an unbundling of storage costs for CATs.  In this instance there is less of a cost shifting issue, as any unused capacity would be marketed as part of SoCal’s overall unbundled storage program, with the company bearing a substantial portion of the risk.  The two settlements differ primarily with respect to the amount of capacity that would be unbundled.  The CSA would allow essentially all of storage capacity otherwise assignable to CATs to be unbundled.  The IS/PI, in contrast, would unbundle only the “non-reliability related” portion of the core storage reservation, which the IS defined as 50% of the inventory and associated injection capacity assigned to core service in the 1999 SoCalGas BCAP.  </w:t>
      </w:r>
    </w:p>
    <w:p>
      <w:pPr>
        <w:pStyle w:val="Normal"/>
        <w:rPr/>
      </w:pPr>
      <w:r>
        <w:rPr/>
        <w:t>The IS/PI approach is more prudent, as it keeps reliability-related core storage bundled for at least this BCAP cycle, while a wide variety of other system changes are being implemented and evaluated.  The costs and benefits of further unbundling could then be considered in the next SoCalGas BCAP.</w:t>
      </w:r>
    </w:p>
    <w:p>
      <w:pPr>
        <w:pStyle w:val="Heading1"/>
        <w:ind w:firstLine="720" w:start="0"/>
        <w:rPr/>
      </w:pPr>
      <w:bookmarkStart w:id="48" w:name="__RefHeading___Toc483408734"/>
      <w:bookmarkEnd w:id="48"/>
      <w:r>
        <w:rPr/>
        <w:t>ITCS  (Yap)</w:t>
      </w:r>
    </w:p>
    <w:p>
      <w:pPr>
        <w:pStyle w:val="BodyTextIndent2"/>
        <w:rPr/>
      </w:pPr>
      <w:r>
        <w:rPr/>
        <w:t xml:space="preserve">The CSA would unbundle would eliminate the core contribution to the ITCS as of January 1, 2002.  CSA, §5.3.3.  This provision is identical to Section 4.1 of the IS/PI.  The CSA, however, fails to allocate any ITCS cost responsibility to SoCalGas’ shareholders.  In contrast, the IS/PI shares the ITCS risk on a 75/25 basis between noncore ratepayers and shareholders.  IS/PI, § 4.2.1.  The value of released capacity has risen significantly over the last two years and may rise even more.  Furthermore, the recent action taken by the FERC in its Order 637 now allows the prices paid for short-term capacity releases to rise above the as-billed rate.  Therefore, SoCalGas may be able to recoup even more revenues during capacity constrained periods to offset the total as-billed ITCS costs.  </w:t>
      </w:r>
    </w:p>
    <w:p>
      <w:pPr>
        <w:pStyle w:val="Normal"/>
        <w:rPr/>
      </w:pPr>
      <w:r>
        <w:rPr/>
        <w:t>It is important that SoCalGas shareholders be given a direct stake in maximizing revenues received for various brokered capacity arrangements.  The company should be given an incentive to maximize revenues in deciding, for example, whether to trade off the opportunity for a longer-term arrangement at potentially less than the as-billed rate with the possibility of receiving greater than the as-billed rate levels during certain</w:t>
      </w:r>
    </w:p>
    <w:p>
      <w:pPr>
        <w:pStyle w:val="Heading1"/>
        <w:ind w:firstLine="720" w:start="0"/>
        <w:rPr/>
      </w:pPr>
      <w:bookmarkStart w:id="49" w:name="__RefHeading___Toc483408735"/>
      <w:bookmarkEnd w:id="49"/>
      <w:r>
        <w:rPr/>
        <w:t>The CSA Information Disclosure Requirements Fail to Comply with the California Public Utilities Code, the Commission's Existing Rules, and D.99-07-015.  (Florio)</w:t>
      </w:r>
    </w:p>
    <w:p>
      <w:pPr>
        <w:pStyle w:val="Normal"/>
        <w:rPr/>
      </w:pPr>
      <w:r>
        <w:rPr/>
        <w:t>The Commission said in D.99-07-015 that all market participants should have equal access to the same operational and market information that is available to utility employees who market natural gas services or who make pipeline operating decisions.  The Commission found that there were four "promising options" for achieving parity access to information:  (1) provide customers with access to real time information about their own operations, (2) provide greater disclosure about the details of market transactions, (3) establish an electronic bulletin board ("EBB") to facilitate secondary market transactions, and (4) provide for system access to information which is used by the utilities to make operational decisions.  In many regards, the CSA and PI are similar in their response to these most promising options, except for provisions regarding the disclosure of information about the details of market transactions.  The CSA simply ignores the requirements of Section 489 of the Public Utilities Code and Rule 8 of the Commission's rules on information disclosure as established in D.97-06-110.  Also, the CSA ignores the intent of the Commission, as clearly expressed in D.99-07-015, that there should be an increase in the amount of information disclosed about negotiated transactions.</w:t>
      </w:r>
    </w:p>
    <w:p>
      <w:pPr>
        <w:pStyle w:val="Heading2"/>
        <w:ind w:firstLine="720" w:start="0"/>
        <w:rPr/>
      </w:pPr>
      <w:bookmarkStart w:id="50" w:name="__RefHeading___Toc483408736"/>
      <w:r>
        <w:rPr/>
        <w:t>Making Real-Time Usage Information Available to Customers.</w:t>
      </w:r>
      <w:bookmarkEnd w:id="50"/>
      <w:r>
        <w:rPr/>
        <w:t xml:space="preserve">  </w:t>
      </w:r>
    </w:p>
    <w:p>
      <w:pPr>
        <w:pStyle w:val="Normal"/>
        <w:rPr/>
      </w:pPr>
      <w:r>
        <w:rPr/>
        <w:t>Mr. Lorenz notes in his testimony on behalf of SoCalGas that "SoCalGas' noncore customers are generally satisfied with their current access to customer-specific usage data. . . ."  Ex. 2 at 25.  Mr. Lorenz is correct.  Accordingly, both the PI and the CSA would continue current programs to make usage data available to customers.</w:t>
      </w:r>
    </w:p>
    <w:p>
      <w:pPr>
        <w:pStyle w:val="Heading2"/>
        <w:ind w:firstLine="720" w:start="0"/>
        <w:rPr/>
      </w:pPr>
      <w:bookmarkStart w:id="51" w:name="__RefHeading___Toc483408737"/>
      <w:bookmarkEnd w:id="51"/>
      <w:r>
        <w:rPr/>
        <w:t>Provide Greater Disclosure of the Details about Market Transactions.</w:t>
      </w:r>
    </w:p>
    <w:p>
      <w:pPr>
        <w:pStyle w:val="Normal"/>
        <w:rPr/>
      </w:pPr>
      <w:r>
        <w:rPr/>
        <w:t>The CSA notes: "The Commission believes that disclosure of the transaction-specific details requested by parties is basic and fundamental to an efficient market."  Yet, the CSA would sharply limit the amount of information that would be available about negotiated transactions.  The CSA would require only that SoCalGas publicly disclose a "monthly negotiated backbone transmission report" that would list unspecified "details" about negotiated transportation contracts.  The CSA specifically provides that customer names would not be publicly revealed.  CSA §6.2.3.  Likewise, SoCalGas would make public only a "quarterly report" that would list the quantity, price, and term of negotiated storage contracts but not any other details, specifically not the name of the contracting party.  Thus, the provisions of the CSA conflict with the both the provisions of the Public Utility Code and the requirements of the Commission's rules.</w:t>
      </w:r>
    </w:p>
    <w:p>
      <w:pPr>
        <w:pStyle w:val="Normal"/>
        <w:rPr/>
      </w:pPr>
      <w:r>
        <w:rPr/>
        <w:t>Section 489(a) of the California Public Utilities Code requires public utilities "to file with Commission… and to print and keep open to public inspection… all… contracts… which in any manner effect or relate to rates… or service."  Section 489.1 permits the Commission to partially or completely exempt from the requirements of Section 489(a) contracts negotiated by gas corporations for discounted rates in instances in which the gas corporations are precluded from shifting to other customers any resulting loss of revenue.  However, insofar as SoCalGas will no longer be precluded from shifting to any other customers any loss of revenue that might result from discounting as of June 1, 2000 under the decision in the 1999 SoCalGas BCAP, D.00-04-060 (April 20, 2000), SoCalGas' negotiated discounts contracts will no longer be subject to the Section 489.1 exemption from the Section 489 disclosure requirement.  In any event, Section 489.1 sunsets by its own terms on December 31, 2000.  Accordingly, the restrictive provisions of the CSA which would preclude disclosure of information such as customer names about negotiated transmission or storage contracts conflict with and violate the Public Utilities Code and should be rejected.</w:t>
      </w:r>
    </w:p>
    <w:p>
      <w:pPr>
        <w:pStyle w:val="Normal"/>
        <w:rPr/>
      </w:pPr>
      <w:r>
        <w:rPr/>
        <w:t>Likewise, the restrictive provisions of the CSA conflict with the Commission's rules.  Rule 8 of the Commission's rules adopted in D.97-06-010 (June 25, 1997) provides that a gas corporation must disclose information that is the type of information that interstate pipelines must reveal under federal law.  As the Commission itself noted in D.99-07-015, precise information such as the name of the contracting party must be provided under Federal Energy Regulatory Commission ("FERC") rules.  The Commission said in D.99-07-015:</w:t>
      </w:r>
    </w:p>
    <w:p>
      <w:pPr>
        <w:pStyle w:val="BlockText"/>
        <w:rPr/>
      </w:pPr>
      <w:r>
        <w:rPr/>
        <w:t xml:space="preserve">Under the FERC's Negotiated Rates Policy Statement, interstate pipelines must indicate that "the rate for the service will be either the rates stated on its existing rate schedule or a rate mutually agreed upon by the pipelined and its customer.  When a rate is negotiated, the pipeline will need to file a numbered tarriffed rate sheet stating the exact legal name of the customer and the negotiated rate for the service."  </w:t>
      </w:r>
      <w:r>
        <w:rPr>
          <w:u w:val="single"/>
        </w:rPr>
        <w:t>See Alternatives to Traditional Cost-of-Service Ratemaking for Natural Gas Pipelines</w:t>
      </w:r>
      <w:r>
        <w:rPr/>
        <w:t>, 75 FERC ¶ 61,076 at p.61,241(1996).</w:t>
      </w:r>
    </w:p>
    <w:p>
      <w:pPr>
        <w:pStyle w:val="BlockText"/>
        <w:rPr/>
      </w:pPr>
      <w:r>
        <w:rPr/>
      </w:r>
    </w:p>
    <w:p>
      <w:pPr>
        <w:pStyle w:val="PlainText"/>
        <w:rPr/>
      </w:pPr>
      <w:r>
        <w:rPr/>
        <w:t xml:space="preserve">D.99-07-015, at 77.  Thus, in addition to conflicting wit the Public Utilities Code, the CSA squarely conflicts with the Commission’s rules requiring utilities to disclose information to the same degree that interstate pipelines must disclose information under FERC regulations.  </w:t>
      </w:r>
    </w:p>
    <w:p>
      <w:pPr>
        <w:pStyle w:val="Normal"/>
        <w:rPr/>
      </w:pPr>
      <w:r>
        <w:rPr/>
        <w:t>More generally, the CSA conflicts with the clear intent of the Commission, as expressed in D.99-07-015, that more robust information disclosure "is basic and fundamental to an efficient market" in California.  D.99-07-015, at 77.  Accordingly, the restrictive information-sharing provisions of the CSA should be rejected, and the position implicit in the IS/PI that information should be disclosed as required by the Public Utilities Code and the Commission's existing rules should be adopted.</w:t>
      </w:r>
    </w:p>
    <w:p>
      <w:pPr>
        <w:pStyle w:val="Heading2"/>
        <w:ind w:firstLine="720" w:start="0"/>
        <w:rPr/>
      </w:pPr>
      <w:bookmarkStart w:id="52" w:name="__RefHeading___Toc483408738"/>
      <w:bookmarkEnd w:id="52"/>
      <w:r>
        <w:rPr/>
        <w:t>Secondary Market Trading through EBB.</w:t>
      </w:r>
    </w:p>
    <w:p>
      <w:pPr>
        <w:pStyle w:val="Normal"/>
        <w:rPr/>
      </w:pPr>
      <w:r>
        <w:rPr/>
        <w:t>The CSA provides that SoCalGas shall institute a system of electronic trading of backbone transmission rights in the secondary market.  Insofar as the IS/PI would preclude unbundling of "backbone" transmission rights so as to obviate the adverse impact of such unbundling on customers, the IS/PI would likewise obviate the need for EBB trading of secondary "backbone" transmission rights.</w:t>
      </w:r>
    </w:p>
    <w:p>
      <w:pPr>
        <w:pStyle w:val="Heading2"/>
        <w:ind w:firstLine="720" w:start="0"/>
        <w:rPr/>
      </w:pPr>
      <w:bookmarkStart w:id="53" w:name="__RefHeading___Toc483408739"/>
      <w:bookmarkEnd w:id="53"/>
      <w:r>
        <w:rPr/>
        <w:t>Provide System Information upon which the Utilities Make Their Operating Decisions.</w:t>
      </w:r>
    </w:p>
    <w:p>
      <w:pPr>
        <w:pStyle w:val="Normal"/>
        <w:rPr/>
      </w:pPr>
      <w:r>
        <w:rPr/>
        <w:t xml:space="preserve">Both the IS/PI and the CSA contain provisions requiring SoCalGas to post operating information that is at least as extensive as the information that PG&amp;E proposed pursuant to its "OFO Settlement" approved in D.00-02-050.  </w:t>
      </w:r>
    </w:p>
    <w:p>
      <w:pPr>
        <w:pStyle w:val="Normal"/>
        <w:rPr/>
      </w:pPr>
      <w:r>
        <w:rPr/>
        <w:t>Thus, the primary point of difference between the CSA and the IS/PI is that the IS/PI would, consistent with D.99-07-015, require public disclosure of transaction-specific details such as customer names in the interest in promoting an efficient market.  The CS, on the other hand, would conflict with the Public Utilities Code, existing Commission rules, and the clear intent of the Commission as expressed in D.99-07-015 by restricting public disclosure of transaction-specific details.</w:t>
      </w:r>
    </w:p>
    <w:p>
      <w:pPr>
        <w:pStyle w:val="Heading1"/>
        <w:ind w:firstLine="720" w:start="0"/>
        <w:rPr/>
      </w:pPr>
      <w:bookmarkStart w:id="54" w:name="__RefHeading___Toc483408740"/>
      <w:bookmarkEnd w:id="54"/>
      <w:r>
        <w:rPr/>
        <w:t>Implementation Costs (Yap)</w:t>
      </w:r>
    </w:p>
    <w:p>
      <w:pPr>
        <w:pStyle w:val="Normal"/>
        <w:rPr/>
      </w:pPr>
      <w:r>
        <w:rPr/>
        <w:t xml:space="preserve">Under Section 1.6.1 of the CSA, SoCalGas will be entitled to recover in rates an additional $2.0 million per year.  Furthermore, SoCalGas is entitled to keep “any pooling service fees, imbalance fees, net revenues from the sale or purchase of gas beyond tolerances provided under balancing rules, or portion of rights trading fees it is entitled to retain under agreements with third-party providers of trading platforms” up to the point that the total of these revenues exceeds the actual revenue requirement associated with all implementation costs.  Given the sort of cost overruns that could accompany a rush job to implement the complex systems that may be required to implement the CSA, the CSA total implementation cost could be large enough to allow SoCalGas to keep all of those revenues for the entire CSA period.  </w:t>
      </w:r>
    </w:p>
    <w:p>
      <w:pPr>
        <w:pStyle w:val="Normal"/>
        <w:rPr/>
      </w:pPr>
      <w:r>
        <w:rPr/>
        <w:t>In contrast, the IS provides a much more modest amount of cost recovery for SoCalGas associated with implementing the pooling program.  Furthermore, the IS/PI explicitly credits pooling revenues against the cost recovery.  Also, the IS implements liberalized imbalance trading without requiring that it be accompanied by an expensive electronic trading system.</w:t>
      </w:r>
    </w:p>
    <w:p>
      <w:pPr>
        <w:pStyle w:val="Heading1"/>
        <w:ind w:firstLine="720" w:start="0"/>
        <w:rPr/>
      </w:pPr>
      <w:bookmarkStart w:id="55" w:name="__RefHeading___Toc483408741"/>
      <w:bookmarkEnd w:id="55"/>
      <w:r>
        <w:rPr/>
        <w:t>Timing Issues (Florio)</w:t>
      </w:r>
    </w:p>
    <w:p>
      <w:pPr>
        <w:pStyle w:val="Heading2"/>
        <w:ind w:firstLine="720" w:start="0"/>
        <w:rPr/>
      </w:pPr>
      <w:bookmarkStart w:id="56" w:name="__RefHeading___Toc483408742"/>
      <w:bookmarkEnd w:id="56"/>
      <w:r>
        <w:rPr/>
        <w:t>Timetable for Implementing the CSA</w:t>
      </w:r>
    </w:p>
    <w:p>
      <w:pPr>
        <w:pStyle w:val="Normal"/>
        <w:rPr/>
      </w:pPr>
      <w:r>
        <w:rPr/>
        <w:t xml:space="preserve">The CSA implements the changes that customers want to current operating procedures much more slowly than the IS/PI.  The IS/PI provides that all of the elements of the IS would be in place at the beginning of the second month following the month in which the IS is approved.  IS, § IX.  This is clearly not the case under the CSA.  A number of important features of the IS, </w:t>
      </w:r>
      <w:r>
        <w:rPr>
          <w:i/>
        </w:rPr>
        <w:t>e.g</w:t>
      </w:r>
      <w:r>
        <w:rPr/>
        <w:t>., liberalized imbalance trading, the switch to OFO procedures, and creating a secondary market for unbundled storage contracts, must wait until April 1, 2001 before they are implemented.  Lorenz, Ex. 2 at 28.  The IS/PI delivers these important operational changes as well as others and much more promptly.</w:t>
      </w:r>
    </w:p>
    <w:p>
      <w:pPr>
        <w:pStyle w:val="Normal"/>
        <w:rPr/>
      </w:pPr>
      <w:r>
        <w:rPr/>
        <w:t xml:space="preserve">On the other hand, the CSA adopts an incredibly ambitious schedule for the major structural changes that it proposes.  The Phase II implementation begins on April 1, 2001, only six months after projected approval date and involves “extensive system changes and the contracting with ALTRA for the development of an electronic secondary market anonymous trading platform for storage rights, monthly imbalances, and OFO chip trading….”  </w:t>
      </w:r>
      <w:r>
        <w:rPr>
          <w:i/>
        </w:rPr>
        <w:t>Id</w:t>
      </w:r>
      <w:r>
        <w:rPr/>
        <w:t xml:space="preserve">.  Phase III implementation begins just six months later on October 1, 2001, and involves “the major task of restructuring [SoCalGas’] intrastate transmission system, provid[ing] for secondary market trading of Backbone Transmission rights, add[ing] pooling service at the Los Angeles City Gates.”  </w:t>
      </w:r>
      <w:r>
        <w:rPr>
          <w:i/>
        </w:rPr>
        <w:t>Id</w:t>
      </w:r>
      <w:r>
        <w:rPr/>
        <w:t xml:space="preserve">.  It is likely that the CSA implementation will run behind its ambitious schedule as well as beyond its budget for implementation.  </w:t>
      </w:r>
    </w:p>
    <w:p>
      <w:pPr>
        <w:pStyle w:val="Heading2"/>
        <w:ind w:firstLine="720" w:start="0"/>
        <w:rPr/>
      </w:pPr>
      <w:bookmarkStart w:id="57" w:name="__RefHeading___Toc483408743"/>
      <w:bookmarkEnd w:id="57"/>
      <w:r>
        <w:rPr/>
        <w:t>Scheduling for Mid-Term and Post-Term BCAP and PBR Proceedings</w:t>
      </w:r>
    </w:p>
    <w:p>
      <w:pPr>
        <w:pStyle w:val="Normal"/>
        <w:rPr/>
      </w:pPr>
      <w:r>
        <w:rPr/>
        <w:t xml:space="preserve">The CSA (§ 1.8, p.6) proposes a completely inadequate schedule for processing SoCalGas’ application to establish new rates and terms and conditions of service for the post-settlement period, which would begin on September 1, 2006.  The CSA calls for the filing of such an application by October 31, 2005, a mere ten months prior to the anticipated implementation date.  </w:t>
      </w:r>
    </w:p>
    <w:p>
      <w:pPr>
        <w:pStyle w:val="Normal"/>
        <w:rPr/>
      </w:pPr>
      <w:r>
        <w:rPr/>
        <w:t xml:space="preserve">Past history demonstrates that ten months is a completely inadequate period of time for the Commission to process such an application, reach a decision, and implement the resulting changes in rates and services.  That last two BCAP proceedings, which encompassed a considerably smaller range of issues that those that could be expected to arise in the context of a post-settlement application, took fourteen and one-half and twenty months respectively from time of application to date of implementation.  Both of these proceedings were five months late in putting new rates into effect, a delay which was quite problematic from the customers’ standpoint.  Given the potential complexity and contentiousness of the issues at stake, it would be much more prudent to plan for the full 18-month processing period contemplated by SB 960.  Accordingly, the Commission should direct SoCalGas to file its post-settlement application by March 1, 2005, a full 18 months prior to the intended implementation date.  </w:t>
      </w:r>
    </w:p>
    <w:p>
      <w:pPr>
        <w:pStyle w:val="Normal"/>
        <w:rPr/>
      </w:pPr>
      <w:r>
        <w:rPr/>
        <w:t>The same considerations apply with respect to SoCalGas’ next BCAP and PBR applications, which would determine rates to be put into effect for January 1, 2003.  The PI settlement provides, in Section VII, for SoCalGas to file its BCAP application 18 months in advance, by July 1, 2001.  The same should clearly apply to the PBR application, if the Commission is to have any hope of bringing both proceedings to a close and getting new rates into effect anywhere close to January 1, 2003.</w:t>
      </w:r>
    </w:p>
    <w:p>
      <w:pPr>
        <w:pStyle w:val="Normal"/>
        <w:rPr/>
      </w:pPr>
      <w:r>
        <w:rPr/>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lnNumType w:countBy="1" w:restart="newPage" w:distance="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Book Antiqua">
    <w:altName w:val="Georg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rPr>
      <w:fldChar w:fldCharType="begin"/>
    </w:r>
    <w:r>
      <w:rPr>
        <w:i/>
      </w:rPr>
      <w:instrText xml:space="preserve"> DATE \@"d\ MMMM', 'yyyy" </w:instrText>
    </w:r>
    <w:r>
      <w:rPr>
        <w:i/>
      </w:rPr>
      <w:fldChar w:fldCharType="separate"/>
    </w:r>
    <w:r>
      <w:rPr>
        <w:i/>
      </w:rPr>
      <w:t>28 September, 2025</w:t>
    </w:r>
    <w:r>
      <w:rPr>
        <w:i/>
      </w:rPr>
      <w:fldChar w:fldCharType="end"/>
    </w:r>
    <w:r>
      <w:rPr>
        <w:i/>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r>
      <w:rPr>
        <w:rStyle w:val="PageNumber"/>
        <w:i/>
      </w:rPr>
      <w:tab/>
    </w:r>
    <w:r>
      <w:rPr>
        <w:i/>
        <w:sz w:val="10"/>
      </w:rPr>
      <w:fldChar w:fldCharType="begin"/>
    </w:r>
    <w:r>
      <w:rPr>
        <w:sz w:val="10"/>
        <w:i/>
      </w:rPr>
      <w:instrText xml:space="preserve"> FILENAME \p </w:instrText>
    </w:r>
    <w:r>
      <w:rPr>
        <w:sz w:val="10"/>
        <w:i/>
      </w:rPr>
      <w:fldChar w:fldCharType="separate"/>
    </w:r>
    <w:r>
      <w:rPr>
        <w:sz w:val="10"/>
        <w:i/>
      </w:rPr>
      <w:t>/mnt/main-storage/datasets/enron-docs/doc/LA1068111.DOC</w:t>
    </w:r>
    <w:r>
      <w:rPr>
        <w:sz w:val="10"/>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rPr>
      <w:fldChar w:fldCharType="begin"/>
    </w:r>
    <w:r>
      <w:rPr>
        <w:i/>
      </w:rPr>
      <w:instrText xml:space="preserve"> DATE \@"d\ MMMM', 'yyyy" </w:instrText>
    </w:r>
    <w:r>
      <w:rPr>
        <w:i/>
      </w:rPr>
      <w:fldChar w:fldCharType="separate"/>
    </w:r>
    <w:r>
      <w:rPr>
        <w:i/>
      </w:rPr>
      <w:t>28 September, 2025</w:t>
    </w:r>
    <w:r>
      <w:rPr>
        <w:i/>
      </w:rPr>
      <w:fldChar w:fldCharType="end"/>
    </w:r>
    <w:r>
      <w:rPr>
        <w:i/>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49</w:t>
    </w:r>
    <w:r>
      <w:rPr>
        <w:rStyle w:val="PageNumber"/>
        <w:sz w:val="22"/>
      </w:rPr>
      <w:fldChar w:fldCharType="end"/>
    </w:r>
    <w:r>
      <w:rPr>
        <w:rStyle w:val="PageNumber"/>
        <w:i/>
      </w:rPr>
      <w:tab/>
    </w:r>
    <w:r>
      <w:rPr>
        <w:i/>
        <w:sz w:val="10"/>
      </w:rPr>
      <w:fldChar w:fldCharType="begin"/>
    </w:r>
    <w:r>
      <w:rPr>
        <w:sz w:val="10"/>
        <w:i/>
      </w:rPr>
      <w:instrText xml:space="preserve"> FILENAME \p </w:instrText>
    </w:r>
    <w:r>
      <w:rPr>
        <w:sz w:val="10"/>
        <w:i/>
      </w:rPr>
      <w:fldChar w:fldCharType="separate"/>
    </w:r>
    <w:r>
      <w:rPr>
        <w:sz w:val="10"/>
        <w:i/>
      </w:rPr>
      <w:t>/mnt/main-storage/datasets/enron-docs/doc/LA1068111.DOC</w:t>
    </w:r>
    <w:r>
      <w:rPr>
        <w:sz w:val="10"/>
        <w: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rPr>
        <w:b/>
      </w:rPr>
    </w:lvl>
    <w:lvl w:ilvl="1">
      <w:start w:val="1"/>
      <w:pStyle w:val="Heading2"/>
      <w:numFmt w:val="decimal"/>
      <w:lvlText w:val="%1.%2."/>
      <w:lvlJc w:val="start"/>
      <w:pPr>
        <w:tabs>
          <w:tab w:val="num" w:pos="576"/>
        </w:tabs>
        <w:ind w:start="792" w:hanging="576"/>
      </w:pPr>
      <w:rPr>
        <w:b/>
      </w:rPr>
    </w:lvl>
    <w:lvl w:ilvl="2">
      <w:start w:val="1"/>
      <w:pStyle w:val="Heading3"/>
      <w:numFmt w:val="decimal"/>
      <w:lvlText w:val="%1.%2.%3."/>
      <w:lvlJc w:val="start"/>
      <w:pPr>
        <w:tabs>
          <w:tab w:val="num" w:pos="792"/>
        </w:tabs>
        <w:ind w:start="1224" w:hanging="792"/>
      </w:pPr>
      <w:rPr>
        <w:b/>
      </w:rPr>
    </w:lvl>
    <w:lvl w:ilvl="3">
      <w:start w:val="1"/>
      <w:pStyle w:val="Heading4"/>
      <w:numFmt w:val="decimal"/>
      <w:lvlText w:val="%1.%2.%3.%4."/>
      <w:lvlJc w:val="start"/>
      <w:pPr>
        <w:tabs>
          <w:tab w:val="num" w:pos="936"/>
        </w:tabs>
        <w:ind w:start="1584" w:hanging="936"/>
      </w:pPr>
      <w:rPr>
        <w:b/>
      </w:rPr>
    </w:lvl>
    <w:lvl w:ilvl="4">
      <w:start w:val="1"/>
      <w:pStyle w:val="Heading5"/>
      <w:numFmt w:val="decimal"/>
      <w:lvlText w:val="%1.%2.%3.%4.%5."/>
      <w:lvlJc w:val="start"/>
      <w:pPr>
        <w:tabs>
          <w:tab w:val="num" w:pos="1152"/>
        </w:tabs>
        <w:ind w:start="2016" w:hanging="1152"/>
      </w:pPr>
      <w:rPr>
        <w:b/>
      </w:rPr>
    </w:lvl>
    <w:lvl w:ilvl="5">
      <w:start w:val="1"/>
      <w:pStyle w:val="Heading6"/>
      <w:numFmt w:val="decimal"/>
      <w:lvlText w:val="%1.%2.%3.%4.%5.%6."/>
      <w:lvlJc w:val="start"/>
      <w:pPr>
        <w:tabs>
          <w:tab w:val="num" w:pos="1368"/>
        </w:tabs>
        <w:ind w:start="2448" w:hanging="1368"/>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792"/>
        </w:tabs>
        <w:ind w:start="1152" w:hanging="792"/>
      </w:pPr>
    </w:lvl>
  </w:abstractNum>
  <w:abstractNum w:abstractNumId="3">
    <w:lvl w:ilvl="0">
      <w:start w:val="1"/>
      <w:numFmt w:val="decimal"/>
      <w:lvlText w:val="%1."/>
      <w:lvlJc w:val="start"/>
      <w:pPr>
        <w:tabs>
          <w:tab w:val="num" w:pos="792"/>
        </w:tabs>
        <w:ind w:start="1152" w:hanging="792"/>
      </w:pPr>
    </w:lvl>
  </w:abstractNum>
  <w:abstractNum w:abstractNumId="4">
    <w:lvl w:ilvl="0">
      <w:numFmt w:val="bullet"/>
      <w:lvlText w:val=""/>
      <w:lvlJc w:val="start"/>
      <w:pPr>
        <w:tabs>
          <w:tab w:val="num" w:pos="852"/>
        </w:tabs>
        <w:ind w:start="1344" w:hanging="852"/>
      </w:pPr>
      <w:rPr>
        <w:rFonts w:ascii="Wingdings" w:hAnsi="Wingdings" w:cs="Wingdings" w:hint="default"/>
      </w:r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ind w:firstLine="720" w:start="0" w:end="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432" w:leader="none"/>
      </w:tabs>
      <w:spacing w:lineRule="auto" w:line="240" w:before="240" w:after="120"/>
      <w:outlineLvl w:val="0"/>
    </w:pPr>
    <w:rPr>
      <w:b/>
      <w:kern w:val="2"/>
    </w:rPr>
  </w:style>
  <w:style w:type="paragraph" w:styleId="Heading2">
    <w:name w:val="heading 2"/>
    <w:basedOn w:val="Normal"/>
    <w:next w:val="Normal"/>
    <w:qFormat/>
    <w:pPr>
      <w:keepNext w:val="true"/>
      <w:numPr>
        <w:ilvl w:val="1"/>
        <w:numId w:val="1"/>
      </w:numPr>
      <w:tabs>
        <w:tab w:val="clear" w:pos="720"/>
        <w:tab w:val="left" w:pos="792" w:leader="none"/>
      </w:tabs>
      <w:spacing w:lineRule="auto" w:line="240" w:before="120" w:after="120"/>
      <w:outlineLvl w:val="1"/>
    </w:pPr>
    <w:rPr>
      <w:b/>
    </w:rPr>
  </w:style>
  <w:style w:type="paragraph" w:styleId="Heading3">
    <w:name w:val="heading 3"/>
    <w:basedOn w:val="Normal"/>
    <w:next w:val="Normal"/>
    <w:qFormat/>
    <w:pPr>
      <w:numPr>
        <w:ilvl w:val="2"/>
        <w:numId w:val="1"/>
      </w:numPr>
      <w:tabs>
        <w:tab w:val="clear" w:pos="720"/>
        <w:tab w:val="left" w:pos="1224" w:leader="none"/>
      </w:tabs>
      <w:spacing w:lineRule="auto" w:line="240" w:before="120" w:after="120"/>
      <w:outlineLvl w:val="2"/>
    </w:pPr>
    <w:rPr>
      <w:b/>
    </w:rPr>
  </w:style>
  <w:style w:type="paragraph" w:styleId="Heading4">
    <w:name w:val="heading 4"/>
    <w:basedOn w:val="Normal"/>
    <w:next w:val="Normal"/>
    <w:qFormat/>
    <w:pPr>
      <w:keepNext w:val="true"/>
      <w:numPr>
        <w:ilvl w:val="3"/>
        <w:numId w:val="1"/>
      </w:numPr>
      <w:tabs>
        <w:tab w:val="clear" w:pos="720"/>
        <w:tab w:val="left" w:pos="1584" w:leader="none"/>
      </w:tabs>
      <w:spacing w:lineRule="auto" w:line="240" w:before="120" w:after="120"/>
      <w:outlineLvl w:val="3"/>
    </w:pPr>
    <w:rPr>
      <w:b/>
    </w:rPr>
  </w:style>
  <w:style w:type="paragraph" w:styleId="Heading5">
    <w:name w:val="heading 5"/>
    <w:basedOn w:val="Normal"/>
    <w:next w:val="Normal"/>
    <w:qFormat/>
    <w:pPr>
      <w:numPr>
        <w:ilvl w:val="4"/>
        <w:numId w:val="1"/>
      </w:numPr>
      <w:tabs>
        <w:tab w:val="clear" w:pos="720"/>
        <w:tab w:val="left" w:pos="2016" w:leader="none"/>
      </w:tabs>
      <w:spacing w:lineRule="auto" w:line="240" w:before="60" w:after="120"/>
      <w:outlineLvl w:val="4"/>
    </w:pPr>
    <w:rPr>
      <w:b/>
    </w:rPr>
  </w:style>
  <w:style w:type="paragraph" w:styleId="Heading6">
    <w:name w:val="heading 6"/>
    <w:basedOn w:val="Normal"/>
    <w:next w:val="Normal"/>
    <w:qFormat/>
    <w:pPr>
      <w:numPr>
        <w:ilvl w:val="5"/>
        <w:numId w:val="1"/>
      </w:numPr>
      <w:tabs>
        <w:tab w:val="clear" w:pos="720"/>
        <w:tab w:val="left" w:pos="2448" w:leader="none"/>
      </w:tabs>
      <w:spacing w:lineRule="auto" w:line="240" w:before="60" w:after="60"/>
      <w:outlineLvl w:val="5"/>
    </w:pPr>
    <w:rPr>
      <w:b/>
    </w:rPr>
  </w:style>
  <w:style w:type="paragraph" w:styleId="Heading7">
    <w:name w:val="heading 7"/>
    <w:basedOn w:val="Normal"/>
    <w:next w:val="Normal"/>
    <w:qFormat/>
    <w:pPr>
      <w:numPr>
        <w:ilvl w:val="6"/>
        <w:numId w:val="1"/>
      </w:numPr>
      <w:tabs>
        <w:tab w:val="clear" w:pos="720"/>
        <w:tab w:val="left" w:pos="1296" w:leader="none"/>
      </w:tabs>
      <w:spacing w:lineRule="auto" w:line="240" w:before="60" w:after="60"/>
      <w:outlineLvl w:val="6"/>
    </w:pPr>
    <w:rPr/>
  </w:style>
  <w:style w:type="paragraph" w:styleId="Heading8">
    <w:name w:val="heading 8"/>
    <w:basedOn w:val="Normal"/>
    <w:next w:val="Normal"/>
    <w:qFormat/>
    <w:pPr>
      <w:numPr>
        <w:ilvl w:val="7"/>
        <w:numId w:val="1"/>
      </w:numPr>
      <w:tabs>
        <w:tab w:val="clear" w:pos="720"/>
        <w:tab w:val="left" w:pos="1440" w:leader="none"/>
      </w:tabs>
      <w:spacing w:before="240" w:after="60"/>
      <w:outlineLvl w:val="7"/>
    </w:pPr>
    <w:rPr>
      <w:rFonts w:ascii="Arial" w:hAnsi="Arial" w:cs="Arial"/>
      <w:i/>
      <w:sz w:val="20"/>
    </w:rPr>
  </w:style>
  <w:style w:type="paragraph" w:styleId="Heading9">
    <w:name w:val="heading 9"/>
    <w:basedOn w:val="Normal"/>
    <w:next w:val="Normal"/>
    <w:qFormat/>
    <w:pPr>
      <w:numPr>
        <w:ilvl w:val="8"/>
        <w:numId w:val="1"/>
      </w:numPr>
      <w:tabs>
        <w:tab w:val="clear" w:pos="720"/>
        <w:tab w:val="left" w:pos="1584" w:leader="none"/>
      </w:tabs>
      <w:spacing w:before="240" w:after="60"/>
      <w:outlineLvl w:val="8"/>
    </w:pPr>
    <w:rPr>
      <w:rFonts w:ascii="Arial" w:hAnsi="Arial" w:cs="Arial"/>
      <w:b/>
      <w:i/>
      <w:sz w:val="18"/>
    </w:rPr>
  </w:style>
  <w:style w:type="character" w:styleId="WW8Num1z0">
    <w:name w:val="WW8Num1z0"/>
    <w:qFormat/>
    <w:rPr>
      <w:b/>
    </w:rPr>
  </w:style>
  <w:style w:type="character" w:styleId="WW8NumSt3z0">
    <w:name w:val="WW8NumSt3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LineNumber">
    <w:name w:val="line number"/>
    <w:basedOn w:val="DefaultParagraphFont"/>
    <w:rPr/>
  </w:style>
  <w:style w:type="character" w:styleId="IndexLink">
    <w:name w:val="Index Link"/>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40" w:before="0" w:after="240"/>
      <w:ind w:hanging="0" w:start="144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numPr>
        <w:ilvl w:val="0"/>
        <w:numId w:val="5"/>
      </w:numPr>
      <w:tabs>
        <w:tab w:val="clear" w:pos="720"/>
        <w:tab w:val="left" w:pos="576" w:leader="none"/>
      </w:tabs>
      <w:spacing w:before="0" w:after="120"/>
      <w:ind w:hanging="288" w:start="504" w:end="0"/>
    </w:pPr>
    <w:rPr/>
  </w:style>
  <w:style w:type="paragraph" w:styleId="BlockText">
    <w:name w:val="Block Text"/>
    <w:basedOn w:val="Normal"/>
    <w:qFormat/>
    <w:pPr>
      <w:spacing w:lineRule="auto" w:line="240" w:before="180" w:after="0"/>
      <w:ind w:hanging="0" w:start="576" w:end="576"/>
    </w:pPr>
    <w:rPr/>
  </w:style>
  <w:style w:type="paragraph" w:styleId="BodyTextIndent2">
    <w:name w:val="Body Text Indent 2"/>
    <w:basedOn w:val="Normal"/>
    <w:qFormat/>
    <w:pPr/>
    <w:rPr/>
  </w:style>
  <w:style w:type="paragraph" w:styleId="TOC1">
    <w:name w:val="toc 1"/>
    <w:basedOn w:val="Normal"/>
    <w:next w:val="Normal"/>
    <w:pPr>
      <w:spacing w:before="120" w:after="120"/>
    </w:pPr>
    <w:rPr>
      <w:b/>
      <w:caps/>
    </w:rPr>
  </w:style>
  <w:style w:type="paragraph" w:styleId="TOC2">
    <w:name w:val="toc 2"/>
    <w:basedOn w:val="Normal"/>
    <w:next w:val="Normal"/>
    <w:pPr>
      <w:ind w:firstLine="720" w:start="240" w:end="0"/>
    </w:pPr>
    <w:rPr>
      <w:smallCaps/>
    </w:rPr>
  </w:style>
  <w:style w:type="paragraph" w:styleId="TOC3">
    <w:name w:val="toc 3"/>
    <w:basedOn w:val="Normal"/>
    <w:next w:val="Normal"/>
    <w:pPr>
      <w:tabs>
        <w:tab w:val="clear" w:pos="720"/>
        <w:tab w:val="left" w:pos="1980" w:leader="none"/>
        <w:tab w:val="right" w:pos="8630" w:leader="dot"/>
      </w:tabs>
      <w:ind w:firstLine="720" w:start="480" w:end="0"/>
      <w:jc w:val="both"/>
    </w:pPr>
    <w:rPr>
      <w:i/>
      <w:lang w:val="en-CA" w:eastAsia="en-CA"/>
    </w:rPr>
  </w:style>
  <w:style w:type="paragraph" w:styleId="TOC4">
    <w:name w:val="toc 4"/>
    <w:basedOn w:val="Normal"/>
    <w:next w:val="Normal"/>
    <w:pPr>
      <w:ind w:firstLine="720" w:start="720" w:end="0"/>
    </w:pPr>
    <w:rPr/>
  </w:style>
  <w:style w:type="paragraph" w:styleId="TOC5">
    <w:name w:val="toc 5"/>
    <w:basedOn w:val="Normal"/>
    <w:next w:val="Normal"/>
    <w:pPr>
      <w:ind w:firstLine="720" w:start="960" w:end="0"/>
    </w:pPr>
    <w:rPr/>
  </w:style>
  <w:style w:type="paragraph" w:styleId="TOC6">
    <w:name w:val="toc 6"/>
    <w:basedOn w:val="Normal"/>
    <w:next w:val="Normal"/>
    <w:pPr>
      <w:ind w:firstLine="720" w:start="1200" w:end="0"/>
    </w:pPr>
    <w:rPr/>
  </w:style>
  <w:style w:type="paragraph" w:styleId="TOC7">
    <w:name w:val="toc 7"/>
    <w:basedOn w:val="Normal"/>
    <w:next w:val="Normal"/>
    <w:pPr>
      <w:ind w:firstLine="720" w:start="1440" w:end="0"/>
    </w:pPr>
    <w:rPr/>
  </w:style>
  <w:style w:type="paragraph" w:styleId="TOC8">
    <w:name w:val="toc 8"/>
    <w:basedOn w:val="Normal"/>
    <w:next w:val="Normal"/>
    <w:pPr>
      <w:ind w:firstLine="720" w:start="1680" w:end="0"/>
    </w:pPr>
    <w:rPr/>
  </w:style>
  <w:style w:type="paragraph" w:styleId="TOC9">
    <w:name w:val="toc 9"/>
    <w:basedOn w:val="Normal"/>
    <w:next w:val="Normal"/>
    <w:pPr>
      <w:ind w:firstLine="720" w:start="1920" w:end="0"/>
    </w:pPr>
    <w:rPr/>
  </w:style>
  <w:style w:type="paragraph" w:styleId="BodyTextIndent3">
    <w:name w:val="Body Text Indent 3"/>
    <w:basedOn w:val="Normal"/>
    <w:qFormat/>
    <w:pPr>
      <w:spacing w:lineRule="auto" w:line="240"/>
    </w:pPr>
    <w:rPr>
      <w:color w:val="FF00FF"/>
    </w:rPr>
  </w:style>
  <w:style w:type="paragraph" w:styleId="xl26">
    <w:name w:val="xl26"/>
    <w:basedOn w:val="Normal"/>
    <w:qFormat/>
    <w:pPr>
      <w:spacing w:lineRule="auto" w:line="240" w:before="100" w:after="100"/>
      <w:ind w:hanging="0" w:start="0" w:end="0"/>
      <w:jc w:val="end"/>
    </w:pPr>
    <w:rPr/>
  </w:style>
  <w:style w:type="paragraph" w:styleId="BodyTextFirstIndent">
    <w:name w:val="Body Text First Indent"/>
    <w:basedOn w:val="BodyText"/>
    <w:qFormat/>
    <w:pPr>
      <w:ind w:firstLine="720" w:start="0" w:end="0"/>
    </w:pPr>
    <w:rPr/>
  </w:style>
  <w:style w:type="paragraph" w:styleId="ListNumber">
    <w:name w:val="List Number"/>
    <w:basedOn w:val="Normal"/>
    <w:qFormat/>
    <w:pPr>
      <w:numPr>
        <w:ilvl w:val="0"/>
        <w:numId w:val="6"/>
      </w:numPr>
      <w:tabs>
        <w:tab w:val="clear" w:pos="720"/>
        <w:tab w:val="left" w:pos="792" w:leader="none"/>
      </w:tabs>
      <w:ind w:hanging="432" w:start="792" w:end="0"/>
    </w:pPr>
    <w:rPr/>
  </w:style>
  <w:style w:type="paragraph" w:styleId="PlainText">
    <w:name w:val="Plain Text"/>
    <w:basedOn w:val="Normal"/>
    <w:qFormat/>
    <w:pPr>
      <w:ind w:hanging="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2000-05-20T03:10:00Z</dcterms:created>
  <dc:creator>Catherine E. Yap</dc:creator>
  <dc:description/>
  <dc:language>en-CA</dc:language>
  <cp:lastModifiedBy>Registered User</cp:lastModifiedBy>
  <cp:lastPrinted>2000-05-19T23:16:00Z</cp:lastPrinted>
  <dcterms:modified xsi:type="dcterms:W3CDTF">2000-05-20T03:49:00Z</dcterms:modified>
  <cp:revision>9</cp:revision>
  <dc:subject/>
  <dc:title>Outline of Ratemaking Applicable to </dc:title>
</cp:coreProperties>
</file>