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0" w:leader="none"/>
        </w:tabs>
        <w:spacing w:before="0" w:after="72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EnvelopeReturn"/>
              <w:suppressAutoHyphens w:val="true"/>
              <w:spacing w:before="0" w:after="60"/>
              <w:rPr/>
            </w:pPr>
            <w:r>
              <w:rPr/>
              <w:t xml:space="preserve"> </w:t>
            </w: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Heading"/>
        <w:spacing w:before="1200" w:after="3960"/>
        <w:rPr/>
      </w:pPr>
      <w:r>
        <w:rPr/>
        <w:t>SOUTHERN CALIFORNIA GENERATION COALITION</w:t>
        <w:br/>
        <w:t>MOTION TO COMPEL DISCOVERY RESPONSES FROM</w:t>
        <w:br/>
        <w:t>SOUTHERN CALIFORNIA GAS COMPANY</w:t>
        <w:br/>
        <w:t>AND MOTION REQUESTING A SHORTENED RESPONSE TIME</w:t>
      </w:r>
    </w:p>
    <w:p>
      <w:pPr>
        <w:pStyle w:val="Signature"/>
        <w:rPr/>
      </w:pPr>
      <w:r>
        <w:rPr/>
        <w:t>Norman A. Pedersen</w:t>
        <w:br/>
        <w:t>JONES, DAY, REAVIS &amp; POGUE</w:t>
        <w:br/>
        <w:t>555 West Fifth Street</w:t>
        <w:br/>
        <w:t>Suite 4600</w:t>
        <w:br/>
        <w:t>Los Angeles, California 90013-1025</w:t>
        <w:br/>
        <w:t>Telephone: (213) 489-3939</w:t>
        <w:br/>
        <w:t>Facsimile:  (213) 243-2539</w:t>
      </w:r>
    </w:p>
    <w:p>
      <w:pPr>
        <w:pStyle w:val="BodyText"/>
        <w:tabs>
          <w:tab w:val="clear" w:pos="720"/>
          <w:tab w:val="left" w:pos="4680" w:leader="none"/>
        </w:tabs>
        <w:spacing w:lineRule="auto" w:line="240"/>
        <w:ind w:hanging="4680" w:start="4680" w:end="0"/>
        <w:rPr/>
      </w:pPr>
      <w:r>
        <w:rPr/>
        <w:t>Dated:  May 19, 2000</w:t>
        <w:tab/>
        <w:t xml:space="preserve">Attorneys for </w:t>
      </w:r>
      <w:r>
        <w:rPr>
          <w:b/>
        </w:rPr>
        <w:t>SOUTHERN CALIFORNIA</w:t>
        <w:br/>
        <w:t>GENERATION COALITION</w:t>
      </w:r>
    </w:p>
    <w:p>
      <w:pPr>
        <w:pStyle w:val="BodyText"/>
        <w:tabs>
          <w:tab w:val="clear" w:pos="720"/>
          <w:tab w:val="left" w:pos="4680" w:leader="none"/>
        </w:tabs>
        <w:spacing w:lineRule="auto" w:line="240"/>
        <w:ind w:hanging="4680" w:start="4680" w:end="0"/>
        <w:rPr>
          <w:b/>
        </w:rPr>
      </w:pPr>
      <w:r>
        <w:rPr>
          <w:b/>
        </w:rPr>
      </w:r>
    </w:p>
    <w:p>
      <w:pPr>
        <w:pStyle w:val="Heading"/>
        <w:spacing w:before="0" w:after="72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Normal"/>
              <w:suppressAutoHyphens w:val="true"/>
              <w:spacing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Subtitle"/>
        <w:rPr/>
      </w:pPr>
      <w:r>
        <w:rPr/>
        <w:t>SOUTHERN CALIFORNIA GENERATION COALITION</w:t>
        <w:br/>
        <w:t>MOTION TO COMPEL DISCOVERY RESPONSES FROM</w:t>
        <w:br/>
        <w:t>SOUTHERN CALIFORNIA GAS COMPANY</w:t>
        <w:br/>
        <w:t>AND MOTION REQUESTING A SHORTENED RESPONSE TIME</w:t>
      </w:r>
    </w:p>
    <w:p>
      <w:pPr>
        <w:pStyle w:val="BodyText"/>
        <w:rPr/>
      </w:pPr>
      <w:r>
        <w:rPr/>
        <w:t>In accordance with Rule 45 and Resolution ALJ-164, the Southern California Generation Coalition ("SCGC") hereby requests that the Commission issue an Order Compelling Responses to all but nine questions propounded by TURN on April 27, 2000, in a data request which was subsequently adopted and tendered to Southern California Gas Company ("SoCalGas") by SCGC in its Fourth Data Request to SoCalGas dated May 8, 2000.  This motion parallels the Motion to Compel filed by TURN on May 15, 2000 in the captioned proceeding.  SCGC also moves that the time for a response be shortened to May 23, 2000, paralleling TURN's request for a shortened response time.</w:t>
      </w:r>
    </w:p>
    <w:p>
      <w:pPr>
        <w:pStyle w:val="Heading1"/>
        <w:spacing w:before="0" w:after="240"/>
        <w:ind w:hanging="0" w:start="0"/>
        <w:rPr/>
      </w:pPr>
      <w:r>
        <w:rPr/>
        <w:t>Introduction.</w:t>
      </w:r>
    </w:p>
    <w:p>
      <w:pPr>
        <w:pStyle w:val="BodyText"/>
        <w:rPr/>
      </w:pPr>
      <w:r>
        <w:rPr/>
        <w:t xml:space="preserve">On April 27, 2000, TURN sent a data request to SoCalGas in order to seek clarifications and explanations of language in the Interim and Comprehensive Settlements and of SoCalGas' position with respect to the Interim and Comprehensive Settlements.  </w:t>
      </w:r>
      <w:r>
        <w:rPr>
          <w:u w:val="single"/>
        </w:rPr>
        <w:t>See</w:t>
      </w:r>
      <w:r>
        <w:rPr/>
        <w:t xml:space="preserve"> Attachment 1.  By letter dated May 5, 2000, SoCalGas objected to responding to all but the first two of the 21 questions propounded by TURN in its Data Request.  </w:t>
      </w:r>
      <w:r>
        <w:rPr>
          <w:u w:val="single"/>
        </w:rPr>
        <w:t>See</w:t>
      </w:r>
      <w:r>
        <w:rPr/>
        <w:t xml:space="preserve"> Attachment 2.  SoCalGas provided responses to questions 1 and 2.  On May 8, 2000, SCGC sent a data request to SoCalGas requesting the information sought by TURN in its April 27, 2000 data request.</w:t>
      </w:r>
      <w:r>
        <w:rPr>
          <w:rStyle w:val="FootnoteCharacters"/>
          <w:rStyle w:val="FootnoteReference"/>
        </w:rPr>
        <w:footnoteReference w:id="2"/>
      </w:r>
      <w:r>
        <w:rPr/>
        <w:t xml:space="preserve">  By letter dated May 15, 2000, SoCalGas provided responses to questions 1 and 2 but objected to providing responses to the remaining questions just as SoCalGas had objected to providing responses to TURN.  The grounds for the objections were the same.  SoCalGas stated in its letter:</w:t>
      </w:r>
    </w:p>
    <w:p>
      <w:pPr>
        <w:pStyle w:val="BlockText"/>
        <w:rPr/>
      </w:pPr>
      <w:r>
        <w:rPr/>
        <w:t>For the sake of brevity, SoCalGas objects to providing SCGC with answers to these questions for the same reasons as stated in SoCalGas' May 5 letter to TURN, except that the objections in the paragraph on p. 2 of that letter beginning with the word "Second" would not be applicable to SCGC's request.</w:t>
      </w:r>
    </w:p>
    <w:p>
      <w:pPr>
        <w:pStyle w:val="Normal"/>
        <w:spacing w:lineRule="auto" w:line="480"/>
        <w:rPr/>
      </w:pPr>
      <w:r>
        <w:rPr/>
        <w:tab/>
        <w:t>On May 10, 2000, TURN conferred with counsel for SoCalGas pursuant to Resolution ALJ-164, Section 2.C.  TURN withdrew its request for responses to questions 3, 6, 7, 10, 11 19.1, and 21.  On May 12, 2000, TURN filed a Motion of the Utility Reform Network to Compel Discovery Responses and Motion Requesting a Shortened Response Time ("TURN Motion") seeking responses to all questions except for the two to which SoCalGas had no objection and the withdrawn questions.</w:t>
      </w:r>
    </w:p>
    <w:p>
      <w:pPr>
        <w:pStyle w:val="BodyText"/>
        <w:rPr/>
      </w:pPr>
      <w:r>
        <w:rPr/>
        <w:t>SCGC conferred with SoCalGas on March 17, 2000, regarding the SoCalGas March 15, 2000 objection to providing SCGC with responses to the questions in TURN's Data Request.  As occurred with TURN, SCGC's conference failed to result in an agreement about the questions to which TURN still seeks a response.</w:t>
      </w:r>
    </w:p>
    <w:p>
      <w:pPr>
        <w:pStyle w:val="Heading1"/>
        <w:spacing w:before="0" w:after="240"/>
        <w:ind w:hanging="0" w:start="0"/>
        <w:rPr/>
      </w:pPr>
      <w:r>
        <w:rPr/>
        <w:t>SCGC Seeks To Compel SoCalGas' Responses.</w:t>
      </w:r>
    </w:p>
    <w:p>
      <w:pPr>
        <w:pStyle w:val="BodyText"/>
        <w:rPr/>
      </w:pPr>
      <w:r>
        <w:rPr/>
        <w:t>SCGC joins TURN in withdrawing questions 3, 6, 7, 10, 11, and 19.1 and 21.  SCGC, likewise, joins TURN in requesting that SoCalGas be compelled to respond to the remaining questions propounded in TURN's data request.  SCGC incorporates into this motion by reference TURN's arguments in support of an order compelling a response to the questions to which TURN seeks answers.</w:t>
      </w:r>
    </w:p>
    <w:p>
      <w:pPr>
        <w:pStyle w:val="BodyText"/>
        <w:rPr/>
      </w:pPr>
      <w:r>
        <w:rPr/>
        <w:t>Additionally, SCGC provides the following further response to SoCalGas' objection that various questions</w:t>
      </w:r>
      <w:r>
        <w:rPr>
          <w:rStyle w:val="FootnoteCharacters"/>
          <w:rStyle w:val="FootnoteReference"/>
        </w:rPr>
        <w:footnoteReference w:id="3"/>
      </w:r>
      <w:r>
        <w:rPr/>
        <w:t xml:space="preserve"> call for legal conclusions and opinions.  The questions call for a statement of SoCalGas' position, intent, or the meaning of settlement terms.  SCGC adopts TURN's position that "asking for the meaning of terms is not calling for a legal analysis or conclusion in the sense of requiring a statement or interpretation of the law.  It is calling for the interpretation of settlement text by a signatory party."  TURN Motion, at 9.</w:t>
      </w:r>
    </w:p>
    <w:p>
      <w:pPr>
        <w:pStyle w:val="BodyText"/>
        <w:rPr/>
      </w:pPr>
      <w:r>
        <w:rPr/>
        <w:t>However, even if asking for the meaning of settlement terms calls for a legal conclusion or opinion, SoCalGas' objection still lacks merit, and this information is still discoverable.  California Code of Civil Procedure section 2030(c)(6) provides that:</w:t>
      </w:r>
    </w:p>
    <w:p>
      <w:pPr>
        <w:pStyle w:val="BlockText"/>
        <w:rPr/>
      </w:pPr>
      <w:r>
        <w:rPr/>
        <w:t xml:space="preserve">An interrogatory may relate to whether another party is making a certain contention, or to the facts, witnesses, and writings on which a contention is based.  An interrogatory is not objectionable because an answer to it involves an opinion or contention that relates to fact or the application of law to fact, or would be based on information obtained or legal theories developed in anticipation of litigation or in preparation of trial.  C.C.P. § 2030(c)(6). </w:t>
      </w:r>
    </w:p>
    <w:p>
      <w:pPr>
        <w:pStyle w:val="Normal"/>
        <w:spacing w:lineRule="auto" w:line="480"/>
        <w:rPr/>
      </w:pPr>
      <w:r>
        <w:rPr/>
        <w:t xml:space="preserve">This provision, added in 1986, codified the case law stated in </w:t>
      </w:r>
      <w:r>
        <w:rPr>
          <w:u w:val="single"/>
        </w:rPr>
        <w:t>Universal Underwriters Ins. Co. v. Superior Court</w:t>
      </w:r>
      <w:r>
        <w:rPr/>
        <w:t>, 250 Cal. App. 2d 722 (2</w:t>
      </w:r>
      <w:r>
        <w:rPr>
          <w:vertAlign w:val="superscript"/>
        </w:rPr>
        <w:t>nd</w:t>
      </w:r>
      <w:r>
        <w:rPr/>
        <w:t xml:space="preserve"> Dist. 1967) and </w:t>
      </w:r>
      <w:r>
        <w:rPr>
          <w:u w:val="single"/>
        </w:rPr>
        <w:t>Burke v. Superior Court</w:t>
      </w:r>
      <w:r>
        <w:rPr/>
        <w:t xml:space="preserve">, 71 Cal. 2d 276 (1969).  In </w:t>
      </w:r>
      <w:r>
        <w:rPr>
          <w:u w:val="single"/>
        </w:rPr>
        <w:t>Burke</w:t>
      </w:r>
      <w:r>
        <w:rPr/>
        <w:t xml:space="preserve">, the Supreme Court of California held that, insofar as interrogatories seek to ascertain the specific basis or bases for a legal contention, "the trial court cannot refuse to compel answers on the basis that the interrogatories call for 'legal opinions.'"  71 Cal. 2d at 285.  The </w:t>
      </w:r>
      <w:r>
        <w:rPr>
          <w:u w:val="single"/>
        </w:rPr>
        <w:t>Universal Underwriters Ins. Co.</w:t>
      </w:r>
      <w:r>
        <w:rPr/>
        <w:t xml:space="preserve"> court further stated that, "to the extent that interrogatories are used to clarify the contentions of the parties, they are an adjunct to the pleadings, and parties are not held rigidly within the limits of their pleadings when a case comes to trial. . . .  Liberal use of interrogatories for the purpose of clarifying and narrowing the issues made by the pleading should be permitted and encouraged by the courts."  250 Cal. App. 2d at 728-729.  </w:t>
      </w:r>
    </w:p>
    <w:p>
      <w:pPr>
        <w:pStyle w:val="BodyText"/>
        <w:rPr/>
      </w:pPr>
      <w:r>
        <w:rPr/>
        <w:t xml:space="preserve">Therefore, under California law, asking for the meaning of settlement terms is calling for the specific bases for SoCalGas' legal contentions, not for a disclosure of legal reasoning or theory behind their contentions.  This information is clearly discoverable when sought by written interrogatory.  </w:t>
      </w:r>
      <w:r>
        <w:rPr>
          <w:u w:val="single"/>
        </w:rPr>
        <w:t>See</w:t>
      </w:r>
      <w:r>
        <w:rPr/>
        <w:t xml:space="preserve"> </w:t>
      </w:r>
      <w:r>
        <w:rPr>
          <w:u w:val="single"/>
        </w:rPr>
        <w:t>Rifkind v. Superior Court</w:t>
      </w:r>
      <w:r>
        <w:rPr/>
        <w:t xml:space="preserve">, 22 Cal. App. 4th 1255, 1261 (2nd Dist. 1994); </w:t>
      </w:r>
      <w:r>
        <w:rPr>
          <w:u w:val="single"/>
        </w:rPr>
        <w:t>Singer v. Superior Court</w:t>
      </w:r>
      <w:r>
        <w:rPr/>
        <w:t>, 54 Cal. 2d 318, 326 (1960).</w:t>
      </w:r>
    </w:p>
    <w:p>
      <w:pPr>
        <w:pStyle w:val="Heading1"/>
        <w:ind w:hanging="0" w:start="0"/>
        <w:rPr/>
      </w:pPr>
      <w:r>
        <w:rPr/>
        <w:t>Motion for Shortened Response Time.</w:t>
      </w:r>
    </w:p>
    <w:p>
      <w:pPr>
        <w:pStyle w:val="BodyText"/>
        <w:rPr/>
      </w:pPr>
      <w:r>
        <w:rPr/>
        <w:t>For the reasons set forth in TURN's April 27, 2000, motion, SCGC joins TURN in requesting a shortened response time to May 23, 2000.</w:t>
      </w:r>
      <w:r>
        <w:br w:type="page"/>
      </w:r>
    </w:p>
    <w:p>
      <w:pPr>
        <w:pStyle w:val="Heading1"/>
        <w:ind w:hanging="0" w:start="0"/>
        <w:rPr/>
      </w:pPr>
      <w:r>
        <w:rPr/>
        <w:t>Conclusion.</w:t>
      </w:r>
    </w:p>
    <w:p>
      <w:pPr>
        <w:pStyle w:val="BodyText"/>
        <w:spacing w:before="0" w:after="120"/>
        <w:rPr/>
      </w:pPr>
      <w:r>
        <w:rPr/>
        <w:t>SCGC joins TURN in requesting that SoCalGas be compelled to respond to all questions to which responses are sought by TURN in the TURN motion dated May 15, 2000 in the captioned proceeding.</w:t>
      </w:r>
    </w:p>
    <w:p>
      <w:pPr>
        <w:pStyle w:val="Signature"/>
        <w:rPr/>
      </w:pPr>
      <w:r>
        <w:rPr/>
        <w:t xml:space="preserve"> </w:t>
      </w:r>
      <w:r>
        <w:rPr/>
        <w:t>Respectfully submitted,</w:t>
        <w:br/>
        <w:br/>
        <w:br/>
        <w:br/>
        <w:t>__________________________________</w:t>
        <w:br/>
        <w:t>Norman A. Pedersen</w:t>
        <w:br/>
        <w:t>JONES, DAY, REAVIS &amp; POGUE</w:t>
        <w:br/>
        <w:t>555 West Fifth Street</w:t>
        <w:br/>
        <w:t>Suite 4600</w:t>
        <w:br/>
        <w:t>Los Angeles, California 90013-1025</w:t>
        <w:br/>
        <w:t>Telephone: (213) 489-3939</w:t>
        <w:br/>
        <w:t>Facsimile:  (213) 243-2539</w:t>
      </w:r>
    </w:p>
    <w:p>
      <w:pPr>
        <w:sectPr>
          <w:footerReference w:type="default" r:id="rId2"/>
          <w:footerReference w:type="first" r:id="rId3"/>
          <w:footnotePr>
            <w:numFmt w:val="decimal"/>
          </w:footnotePr>
          <w:type w:val="nextPage"/>
          <w:pgSz w:w="12240" w:h="15840"/>
          <w:pgMar w:left="1440" w:right="1440" w:gutter="0" w:header="0" w:top="1440" w:footer="432" w:bottom="1440"/>
          <w:pgNumType w:start="1" w:fmt="decimal"/>
          <w:formProt w:val="false"/>
          <w:titlePg/>
          <w:textDirection w:val="lrTb"/>
          <w:docGrid w:type="default" w:linePitch="360" w:charSpace="0"/>
        </w:sectPr>
        <w:pStyle w:val="BodyText"/>
        <w:tabs>
          <w:tab w:val="clear" w:pos="720"/>
          <w:tab w:val="left" w:pos="4680" w:leader="none"/>
        </w:tabs>
        <w:spacing w:lineRule="auto" w:line="240"/>
        <w:ind w:hanging="4680" w:start="4680" w:end="0"/>
        <w:rPr/>
      </w:pPr>
      <w:r>
        <w:rPr/>
        <w:t>Dated:  May 19, 2000</w:t>
        <w:tab/>
        <w:t xml:space="preserve">Attorneys for </w:t>
      </w:r>
      <w:r>
        <w:rPr>
          <w:b/>
        </w:rPr>
        <w:t>SOUTHERN CALIFORNIA</w:t>
        <w:br/>
        <w:t>GENERATION COALITION</w:t>
      </w:r>
    </w:p>
    <w:p>
      <w:pPr>
        <w:pStyle w:val="Subtitle"/>
        <w:spacing w:before="0" w:after="480"/>
        <w:rPr>
          <w:u w:val="single"/>
        </w:rPr>
      </w:pPr>
      <w:r>
        <w:rPr>
          <w:u w:val="single"/>
        </w:rPr>
        <w:t>DECLARATION OF NORMAN A. PEDERSEN</w:t>
      </w:r>
    </w:p>
    <w:p>
      <w:pPr>
        <w:pStyle w:val="BodyText"/>
        <w:rPr/>
      </w:pPr>
      <w:r>
        <w:rPr/>
        <w:t>I, Norman A. Pedersen, state:</w:t>
      </w:r>
    </w:p>
    <w:p>
      <w:pPr>
        <w:pStyle w:val="BodyText"/>
        <w:rPr/>
      </w:pPr>
      <w:r>
        <w:rPr/>
        <w:t>I am an attorney representing the Southern California Generation Coalition ("SCGC") in Investigation ("I.") 99-07-003, before the California Public Utilities Commission.</w:t>
      </w:r>
    </w:p>
    <w:p>
      <w:pPr>
        <w:pStyle w:val="BodyText"/>
        <w:rPr/>
      </w:pPr>
      <w:r>
        <w:rPr/>
        <w:t xml:space="preserve">On May 8, 2000, SCGC submitted a Fourth Data Request of SCGC to Southern California Gas Company propounding, </w:t>
      </w:r>
      <w:r>
        <w:rPr>
          <w:u w:val="single"/>
        </w:rPr>
        <w:t>inter</w:t>
      </w:r>
      <w:r>
        <w:rPr/>
        <w:t xml:space="preserve"> </w:t>
      </w:r>
      <w:r>
        <w:rPr>
          <w:u w:val="single"/>
        </w:rPr>
        <w:t>alia</w:t>
      </w:r>
      <w:r>
        <w:rPr/>
        <w:t>, the following questions:</w:t>
      </w:r>
    </w:p>
    <w:p>
      <w:pPr>
        <w:pStyle w:val="BlockText"/>
        <w:ind w:hanging="720" w:start="2160" w:end="1440"/>
        <w:rPr/>
      </w:pPr>
      <w:r>
        <w:rPr/>
        <w:t>11.</w:t>
        <w:tab/>
        <w:t>Please provide a response to all questions propounded by TURN in TURN's April 27, 2000 Data Request to SoCalGas in this proceeding.</w:t>
      </w:r>
    </w:p>
    <w:p>
      <w:pPr>
        <w:pStyle w:val="BodyText"/>
        <w:rPr/>
      </w:pPr>
      <w:r>
        <w:rPr/>
        <w:t>On May 15, 2000, SoCalGas responded by letter and objected to responding to all but two questions, namely questions 1 and 2.  SoCalGas provided responses to questions 1 and 2.</w:t>
      </w:r>
    </w:p>
    <w:p>
      <w:pPr>
        <w:pStyle w:val="BodyText"/>
        <w:rPr/>
      </w:pPr>
      <w:r>
        <w:rPr/>
        <w:t>On May 17, 2000, I telephoned Mr. Glen Sullivan, counsel for SoCalGas, regarding the objections.  SCGC requested responses to all questions, except those to which SoCalGas responded and questions 11 and 19.1 on the same grounds adduced by TURN in its Motion to Compel filed May 15, 2000 in I.99-07-003.  Mr. Sullivan stated that SoCalGas continues to stand by its objections providing responses to the questions propounded in TURN's Data Request, except questions 1 and 2.  Thereupon, Mr. Sullivan and I had a telephone conversation with Administrative Law Judge Andrea Biren to inform her that SCGC plans to file a motion to compel and that SoCalGas would respond in writing by May 23, 2000, so that the subject of the motion could be considered at the prehearing conference currently scheduled to be convened in this proceeding on May 25, 2000.</w:t>
      </w:r>
      <w:r>
        <w:br w:type="page"/>
      </w:r>
    </w:p>
    <w:p>
      <w:pPr>
        <w:pStyle w:val="BodyText"/>
        <w:rPr/>
      </w:pPr>
      <w:r>
        <w:rPr/>
        <w:t>I declare under penalty of perjury under the laws of the State of California that the foregoing is true and correct to the best of my knowledge, information and belief.</w:t>
      </w:r>
    </w:p>
    <w:p>
      <w:pPr>
        <w:pStyle w:val="Normal"/>
        <w:rPr/>
      </w:pPr>
      <w:r>
        <w:rPr/>
      </w:r>
    </w:p>
    <w:p>
      <w:pPr>
        <w:pStyle w:val="Normal"/>
        <w:spacing w:before="0" w:after="0"/>
        <w:rPr/>
      </w:pPr>
      <w:r>
        <w:rPr/>
        <w:t>Dated:  May 19, 2000</w:t>
        <w:tab/>
        <w:tab/>
        <w:tab/>
        <w:tab/>
        <w:tab/>
        <w:t>_____________________________</w:t>
      </w:r>
    </w:p>
    <w:p>
      <w:pPr>
        <w:sectPr>
          <w:footerReference w:type="default" r:id="rId4"/>
          <w:footerReference w:type="first" r:id="rId5"/>
          <w:footnotePr>
            <w:numFmt w:val="decimal"/>
          </w:footnotePr>
          <w:type w:val="nextPage"/>
          <w:pgSz w:w="12240" w:h="15840"/>
          <w:pgMar w:left="1440" w:right="1440" w:gutter="0" w:header="0" w:top="1440" w:footer="432" w:bottom="1440"/>
          <w:pgNumType w:start="1" w:fmt="decimal"/>
          <w:formProt w:val="false"/>
          <w:textDirection w:val="lrTb"/>
          <w:docGrid w:type="default" w:linePitch="360" w:charSpace="0"/>
        </w:sectPr>
        <w:pStyle w:val="BodyText"/>
        <w:rPr/>
      </w:pPr>
      <w:r>
        <w:rPr/>
        <w:tab/>
        <w:tab/>
        <w:tab/>
        <w:tab/>
        <w:tab/>
        <w:tab/>
        <w:t>Norman A. Pedersen</w:t>
      </w:r>
    </w:p>
    <w:p>
      <w:pPr>
        <w:pStyle w:val="Heading"/>
        <w:spacing w:before="0" w:after="20"/>
        <w:rPr/>
      </w:pPr>
      <w:r>
        <w:rPr/>
        <w:t>BEFORE THE PUBLIC UTILITIES COMMISSION</w:t>
      </w:r>
    </w:p>
    <w:p>
      <w:pPr>
        <w:pStyle w:val="Heading"/>
        <w:spacing w:before="0" w:after="20"/>
        <w:rPr/>
      </w:pPr>
      <w:r>
        <w:rPr/>
        <w:t>OF THE STATE OF CALIFORNIA</w:t>
      </w:r>
    </w:p>
    <w:p>
      <w:pPr>
        <w:pStyle w:val="BodyText"/>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bottom w:val="single" w:sz="6" w:space="0" w:color="000000"/>
            </w:tcBorders>
          </w:tcPr>
          <w:p>
            <w:pPr>
              <w:pStyle w:val="Normal"/>
              <w:widowControl/>
              <w:bidi w:val="0"/>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680" w:type="dxa"/>
            <w:tcBorders>
              <w:start w:val="single" w:sz="6" w:space="0" w:color="000000"/>
            </w:tcBorders>
          </w:tcPr>
          <w:p>
            <w:pPr>
              <w:pStyle w:val="Normal"/>
              <w:snapToGrid w:val="false"/>
              <w:rPr/>
            </w:pPr>
            <w:r>
              <w:rPr/>
            </w:r>
          </w:p>
          <w:p>
            <w:pPr>
              <w:pStyle w:val="Normal"/>
              <w:rPr/>
            </w:pPr>
            <w:r>
              <w:rPr/>
            </w:r>
          </w:p>
          <w:p>
            <w:pPr>
              <w:pStyle w:val="Normal"/>
              <w:widowControl/>
              <w:bidi w:val="0"/>
              <w:spacing w:before="0" w:after="240"/>
              <w:rPr/>
            </w:pPr>
            <w:r>
              <w:rPr/>
              <w:tab/>
              <w:tab/>
              <w:tab/>
              <w:t>I.99-07-003</w:t>
            </w:r>
          </w:p>
        </w:tc>
      </w:tr>
    </w:tbl>
    <w:p>
      <w:pPr>
        <w:pStyle w:val="Heading"/>
        <w:rPr/>
      </w:pPr>
      <w:r>
        <w:rPr/>
      </w:r>
    </w:p>
    <w:p>
      <w:pPr>
        <w:pStyle w:val="Heading"/>
        <w:spacing w:before="0" w:after="480"/>
        <w:rPr/>
      </w:pPr>
      <w:r>
        <w:rPr/>
        <w:t>[PROPOSED] ORDER COMPELLING DISCOVERY RESPONSES</w:t>
      </w:r>
    </w:p>
    <w:p>
      <w:pPr>
        <w:pStyle w:val="BodyText"/>
        <w:rPr/>
      </w:pPr>
      <w:r>
        <w:rPr/>
        <w:t xml:space="preserve">On May 15, 2000, the Utility Reform Network ("TURN") filed a Motion to Compel Discovery Responses by Southern California Gas Company (SoCalGas) in this proceeding.  TURN and SoCalGas have conferred regarding this matter, but they were not able to resolve the dispute informally.  Subsequently, on May 18, 2000, the Southern California Generation Coalition ("SCGC") filed a Motion to Compel Responses to the TURN data request, which had been adopted and propounded to SoCalGas in an SCGC data request dated May 8, 2000.  </w:t>
      </w:r>
    </w:p>
    <w:p>
      <w:pPr>
        <w:pStyle w:val="BodyText"/>
        <w:rPr/>
      </w:pPr>
      <w:r>
        <w:rPr/>
        <w:t xml:space="preserve">SoCalGas has responded to two questions, and TURN and SCGC have withdrawn seven questions.  TURN argues that the remaining questions propounded in the TURN data request ask for SoCalGas' interpretation of the language of two settlements filed in this proceeding and asked for clarification of SoCalGas' position as expressed in motions and testimony.  Furthermore, SCGC argues as to the extent to which SoCalGas objects that responses are not required insofar as the questions "call for legal conclusions and opinions, rather than matters of fact", interrogatories seeking admissions that may involve legal contentions are permissible under the California Code of Civil Procedure section 2030(c)(6).  </w:t>
      </w:r>
    </w:p>
    <w:p>
      <w:pPr>
        <w:pStyle w:val="BodyText"/>
        <w:rPr/>
      </w:pPr>
      <w:r>
        <w:rPr/>
        <w:t xml:space="preserve">The information which is sought by TURN and SCGC through the remaining questions is relevant to this proceeding and is not protected by any privilege.  Good cause having been shown, the motions to compel submitted by TURN and SCGC are hereby granted.  </w:t>
      </w:r>
    </w:p>
    <w:p>
      <w:pPr>
        <w:pStyle w:val="BodyText"/>
        <w:rPr/>
      </w:pPr>
      <w:r>
        <w:rPr/>
        <w:t>IT IS ORDERED THAT:  SoCalGas shall provide responses to all remaining questions propounded in TURN's data request dated April 27, 2000 within three days of the date of this order to TURN and SCGC.</w:t>
      </w:r>
    </w:p>
    <w:p>
      <w:pPr>
        <w:pStyle w:val="BodyText"/>
        <w:rPr/>
      </w:pPr>
      <w:r>
        <w:rPr/>
      </w:r>
    </w:p>
    <w:p>
      <w:pPr>
        <w:sectPr>
          <w:footerReference w:type="default" r:id="rId6"/>
          <w:footerReference w:type="first" r:id="rId7"/>
          <w:footnotePr>
            <w:numFmt w:val="decimal"/>
          </w:footnotePr>
          <w:type w:val="nextPage"/>
          <w:pgSz w:w="12240" w:h="15840"/>
          <w:pgMar w:left="1440" w:right="1440" w:gutter="0" w:header="0" w:top="1440" w:footer="432" w:bottom="1440"/>
          <w:pgNumType w:start="1" w:fmt="decimal"/>
          <w:formProt w:val="false"/>
          <w:textDirection w:val="lrTb"/>
          <w:docGrid w:type="default" w:linePitch="360" w:charSpace="0"/>
        </w:sectPr>
        <w:pStyle w:val="BodyText"/>
        <w:tabs>
          <w:tab w:val="clear" w:pos="720"/>
          <w:tab w:val="left" w:pos="4680" w:leader="none"/>
        </w:tabs>
        <w:spacing w:lineRule="auto" w:line="240"/>
        <w:ind w:hanging="4680" w:start="4680" w:end="0"/>
        <w:rPr/>
      </w:pPr>
      <w:r>
        <w:rPr/>
        <w:t>Dated:_______________________</w:t>
        <w:tab/>
        <w:tab/>
        <w:t>By:_____________________________</w:t>
      </w:r>
    </w:p>
    <w:p>
      <w:pPr>
        <w:pStyle w:val="PlainText"/>
        <w:spacing w:before="0" w:after="480"/>
        <w:jc w:val="center"/>
        <w:rPr>
          <w:b/>
          <w:u w:val="single"/>
        </w:rPr>
      </w:pPr>
      <w:r>
        <w:rPr>
          <w:b/>
          <w:u w:val="single"/>
        </w:rPr>
        <w:t>CERTIFICATE OF SERVICE</w:t>
      </w:r>
    </w:p>
    <w:p>
      <w:pPr>
        <w:pStyle w:val="BodyText"/>
        <w:rPr/>
      </w:pPr>
      <w:r>
        <w:rPr/>
        <w:t>I hereby certify that I have this day served a copy of the</w:t>
      </w:r>
      <w:r>
        <w:rPr>
          <w:b/>
        </w:rPr>
        <w:t xml:space="preserve"> SOUTHERN CALIFORNIA GENERATION COALITION MOTION TO COMPEL DISCOVERY RESPONSES FROM SOUTHERN CALIFORNIA GAS COMPANY AND MOTION REQUESTING A SHORTENED RESPONSE TIME</w:t>
      </w:r>
      <w:r>
        <w:rPr/>
        <w:t xml:space="preserve"> on the service list for</w:t>
      </w:r>
      <w:r>
        <w:rPr>
          <w:b/>
        </w:rPr>
        <w:t xml:space="preserve"> I.99-07-003</w:t>
      </w:r>
      <w:r>
        <w:rPr/>
        <w:t xml:space="preserve"> by mailing a properly addressed copy by first-class mail with postage prepaid to each party.</w:t>
      </w:r>
    </w:p>
    <w:p>
      <w:pPr>
        <w:pStyle w:val="BodyText"/>
        <w:rPr/>
      </w:pPr>
      <w:r>
        <w:rPr/>
        <w:t>Executed on May 19, 2000, at Los Angeles, California.</w:t>
      </w:r>
    </w:p>
    <w:p>
      <w:pPr>
        <w:pStyle w:val="Normal"/>
        <w:spacing w:lineRule="atLeast" w:line="360"/>
        <w:rPr/>
      </w:pPr>
      <w:r>
        <w:rPr/>
      </w:r>
    </w:p>
    <w:p>
      <w:pPr>
        <w:pStyle w:val="Normal"/>
        <w:spacing w:before="0" w:after="0"/>
        <w:rPr/>
      </w:pPr>
      <w:r>
        <w:rPr/>
        <w:tab/>
        <w:tab/>
        <w:tab/>
        <w:tab/>
        <w:tab/>
        <w:tab/>
        <w:tab/>
      </w:r>
      <w:r>
        <w:rPr>
          <w:u w:val="single"/>
        </w:rPr>
        <w:tab/>
        <w:tab/>
        <w:tab/>
        <w:tab/>
        <w:tab/>
      </w:r>
    </w:p>
    <w:p>
      <w:pPr>
        <w:pStyle w:val="PlainText"/>
        <w:spacing w:before="0" w:after="0"/>
        <w:rPr/>
      </w:pPr>
      <w:r>
        <w:rPr/>
        <w:tab/>
        <w:tab/>
        <w:t xml:space="preserve"> </w:t>
        <w:tab/>
        <w:tab/>
        <w:tab/>
        <w:tab/>
        <w:tab/>
        <w:tab/>
        <w:t xml:space="preserve">  </w:t>
      </w:r>
      <w:r>
        <w:rPr>
          <w:b/>
        </w:rPr>
        <w:t>Jaki Hawkins</w:t>
      </w:r>
    </w:p>
    <w:sectPr>
      <w:footerReference w:type="default" r:id="rId8"/>
      <w:footerReference w:type="first" r:id="rId9"/>
      <w:footnotePr>
        <w:numFmt w:val="decimal"/>
      </w:footnotePr>
      <w:type w:val="nextPage"/>
      <w:pgSz w:w="12240" w:h="15840"/>
      <w:pgMar w:left="1440" w:right="1440" w:gutter="0" w:header="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 - 1067936  [Word97]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 - 1067936   [Word97]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 - 1067936  [Word97]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 - 1067936  [Word97]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 - 1067936  [Word97]</w:t>
    </w:r>
    <w:r>
      <w:rPr>
        <w:sz w:val="18"/>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bidi w:val="0"/>
        <w:spacing w:before="0" w:after="240"/>
        <w:rPr/>
      </w:pPr>
      <w:r>
        <w:rPr>
          <w:rStyle w:val="FootnoteCharacters"/>
        </w:rPr>
        <w:footnoteRef/>
      </w:r>
      <w:r>
        <w:rPr/>
        <w:t xml:space="preserve"> </w:t>
      </w:r>
      <w:r>
        <w:rPr>
          <w:sz w:val="20"/>
        </w:rPr>
        <w:t>Question 11 of SCGC's Fourth Data Request, dated May 8, 2000, requested as follows:  "11.  Please provide a response to all questions propounded by TURN in TURN's April 27, 2000 Data Request to SoCalGas in this proceeding."</w:t>
      </w:r>
    </w:p>
  </w:footnote>
  <w:footnote w:id="3">
    <w:p>
      <w:pPr>
        <w:pStyle w:val="FootnoteText"/>
        <w:spacing w:before="0" w:after="240"/>
        <w:rPr/>
      </w:pPr>
      <w:r>
        <w:rPr>
          <w:rStyle w:val="FootnoteCharacters"/>
        </w:rPr>
        <w:footnoteRef/>
      </w:r>
      <w:r>
        <w:rPr/>
        <w:t xml:space="preserve"> </w:t>
      </w:r>
      <w:r>
        <w:rPr/>
        <w:t>Questions 14 (including 14.1-14.5), 17, 18, 19, and 20 (including 20.1 and 20.2).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1080"/>
        </w:tabs>
        <w:ind w:start="72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outlineLvl w:val="0"/>
    </w:pPr>
    <w:rPr>
      <w:rFonts w:ascii="Times New Roman Bold" w:hAnsi="Times New Roman Bold" w:cs="Times New Roman Bold"/>
      <w:b/>
    </w:rPr>
  </w:style>
  <w:style w:type="paragraph" w:styleId="Heading2">
    <w:name w:val="heading 2"/>
    <w:basedOn w:val="Normal"/>
    <w:next w:val="Heading3"/>
    <w:qFormat/>
    <w:pPr>
      <w:numPr>
        <w:ilvl w:val="0"/>
        <w:numId w:val="2"/>
      </w:numPr>
      <w:tabs>
        <w:tab w:val="clear" w:pos="720"/>
      </w:tabs>
      <w:ind w:hanging="720" w:start="1440" w:end="0"/>
      <w:outlineLvl w:val="1"/>
    </w:pPr>
    <w:rPr>
      <w:rFonts w:ascii="Times New Roman Bold" w:hAnsi="Times New Roman Bold" w:cs="Times New Roman Bold"/>
      <w:b/>
    </w:rPr>
  </w:style>
  <w:style w:type="paragraph" w:styleId="Heading3">
    <w:name w:val="heading 3"/>
    <w:basedOn w:val="Normal"/>
    <w:next w:val="Heading4"/>
    <w:qFormat/>
    <w:pPr>
      <w:spacing w:before="0" w:after="240"/>
      <w:outlineLvl w:val="2"/>
    </w:pPr>
    <w:rPr/>
  </w:style>
  <w:style w:type="paragraph" w:styleId="Heading4">
    <w:name w:val="heading 4"/>
    <w:basedOn w:val="Normal"/>
    <w:next w:val="Heading5"/>
    <w:qFormat/>
    <w:pPr>
      <w:spacing w:before="0" w:after="240"/>
      <w:outlineLvl w:val="3"/>
    </w:pPr>
    <w:rPr/>
  </w:style>
  <w:style w:type="paragraph" w:styleId="Heading5">
    <w:name w:val="heading 5"/>
    <w:basedOn w:val="Normal"/>
    <w:next w:val="Heading6"/>
    <w:qFormat/>
    <w:pPr>
      <w:spacing w:before="0" w:after="240"/>
      <w:outlineLvl w:val="4"/>
    </w:pPr>
    <w:rPr/>
  </w:style>
  <w:style w:type="paragraph" w:styleId="Heading6">
    <w:name w:val="heading 6"/>
    <w:basedOn w:val="Normal"/>
    <w:next w:val="Heading7"/>
    <w:qFormat/>
    <w:pPr>
      <w:spacing w:before="0" w:after="240"/>
      <w:outlineLvl w:val="5"/>
    </w:pPr>
    <w:rPr/>
  </w:style>
  <w:style w:type="paragraph" w:styleId="Heading7">
    <w:name w:val="heading 7"/>
    <w:basedOn w:val="Normal"/>
    <w:next w:val="Heading8"/>
    <w:qFormat/>
    <w:pPr>
      <w:spacing w:before="0" w:after="240"/>
      <w:outlineLvl w:val="6"/>
    </w:pPr>
    <w:rPr/>
  </w:style>
  <w:style w:type="paragraph" w:styleId="Heading8">
    <w:name w:val="heading 8"/>
    <w:basedOn w:val="Normal"/>
    <w:next w:val="Heading9"/>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3z0">
    <w:name w:val="WW8Num13z0"/>
    <w:qFormat/>
    <w:rPr>
      <w:b/>
      <w:i w:val="fals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jc w:val="center"/>
      <w:outlineLvl w:val="0"/>
    </w:pPr>
    <w:rPr>
      <w:rFonts w:ascii="Times New Roman Bold" w:hAnsi="Times New Roman Bold" w:cs="Times New Roman Bold"/>
      <w:b/>
    </w:rPr>
  </w:style>
  <w:style w:type="paragraph" w:styleId="BodyText">
    <w:name w:val="Body Text"/>
    <w:basedOn w:val="Normal"/>
    <w:pPr>
      <w:spacing w:lineRule="auto" w:line="480" w:before="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360" w:start="360" w:end="0"/>
    </w:pPr>
    <w:rPr/>
  </w:style>
  <w:style w:type="paragraph" w:styleId="IndexHeading">
    <w:name w:val="index heading"/>
    <w:basedOn w:val="Normal"/>
    <w:next w:val="Index1"/>
    <w:pPr/>
    <w:rPr>
      <w:b/>
    </w:rPr>
  </w:style>
  <w:style w:type="paragraph" w:styleId="PlainText">
    <w:name w:val="Plain Text"/>
    <w:basedOn w:val="Normal"/>
    <w:qFormat/>
    <w:pPr/>
    <w:rPr/>
  </w:style>
  <w:style w:type="paragraph" w:styleId="Subtitle">
    <w:name w:val="Subtitle"/>
    <w:basedOn w:val="Normal"/>
    <w:next w:val="BodyText"/>
    <w:qFormat/>
    <w:pPr>
      <w:spacing w:before="600" w:after="480"/>
      <w:jc w:val="center"/>
      <w:outlineLvl w:val="1"/>
    </w:pPr>
    <w:rPr>
      <w:rFonts w:ascii="Times New Roman Bold" w:hAnsi="Times New Roman Bold" w:cs="Times New Roman Bold"/>
      <w:b/>
    </w:rPr>
  </w:style>
  <w:style w:type="paragraph" w:styleId="BodyTextIndent">
    <w:name w:val="Body Text Indent"/>
    <w:basedOn w:val="Normal"/>
    <w:next w:val="BodyText"/>
    <w:pPr>
      <w:spacing w:before="0" w:after="240"/>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spacing w:lineRule="auto" w:line="360"/>
    </w:pPr>
    <w:rPr/>
  </w:style>
  <w:style w:type="paragraph" w:styleId="BodyTextFirstIndent">
    <w:name w:val="Body Text First Indent"/>
    <w:basedOn w:val="Normal"/>
    <w:qFormat/>
    <w:pPr>
      <w:spacing w:before="0" w:after="240"/>
      <w:ind w:firstLine="1440" w:start="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firstLine="720" w:start="1440" w:end="1440"/>
    </w:pPr>
    <w:rPr/>
  </w:style>
  <w:style w:type="paragraph" w:styleId="BodyTextIndent3">
    <w:name w:val="Body Text Indent 3"/>
    <w:basedOn w:val="Normal"/>
    <w:next w:val="BodyText"/>
    <w:qFormat/>
    <w:pPr>
      <w:spacing w:lineRule="auto" w:line="360"/>
      <w:ind w:firstLine="720" w:start="1440" w:end="1440"/>
    </w:pPr>
    <w:rPr/>
  </w:style>
  <w:style w:type="paragraph" w:styleId="Signature">
    <w:name w:val="Signature"/>
    <w:basedOn w:val="Normal"/>
    <w:pPr>
      <w:tabs>
        <w:tab w:val="clear" w:pos="720"/>
        <w:tab w:val="right" w:pos="9360" w:leader="underscore"/>
      </w:tabs>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FirstIndent3">
    <w:name w:val="Body Text First Indent 3"/>
    <w:basedOn w:val="Normal"/>
    <w:qFormat/>
    <w:pPr>
      <w:spacing w:lineRule="auto" w:line="360"/>
      <w:ind w:firstLine="1440" w:start="0" w:end="0"/>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BodyText"/>
    <w:pPr>
      <w:ind w:hanging="0" w:start="720" w:end="0"/>
    </w:pPr>
    <w:rPr/>
  </w:style>
  <w:style w:type="paragraph" w:styleId="TOC1">
    <w:name w:val="toc 1"/>
    <w:basedOn w:val="Normal"/>
    <w:next w:val="BodyText"/>
    <w:pPr>
      <w:spacing w:before="0" w:after="240"/>
    </w:pPr>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BlockText">
    <w:name w:val="Block Text"/>
    <w:basedOn w:val="Normal"/>
    <w:qFormat/>
    <w:pPr>
      <w:spacing w:before="0" w:after="240"/>
      <w:ind w:hanging="0" w:start="1440" w:end="144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2000-05-18T15:35:00Z</dcterms:created>
  <dc:creator>Robin Beaman</dc:creator>
  <dc:description/>
  <dc:language>en-CA</dc:language>
  <cp:lastModifiedBy>Registered User</cp:lastModifiedBy>
  <cp:lastPrinted>2000-05-19T16:25:00Z</cp:lastPrinted>
  <dcterms:modified xsi:type="dcterms:W3CDTF">2000-05-19T21:08:00Z</dcterms:modified>
  <cp:revision>64</cp:revision>
  <dc:subject/>
  <dc:title>  </dc:title>
</cp:coreProperties>
</file>