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112"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r>
      <w:r>
        <w:rPr>
          <w:b/>
        </w:rPr>
        <w:t>WILLIAM C. KRENZ</w:t>
      </w:r>
    </w:p>
    <w:p>
      <w:pPr>
        <w:pStyle w:val="Normal"/>
        <w:tabs>
          <w:tab w:val="clear" w:pos="720"/>
          <w:tab w:val="center" w:pos="5112"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r>
      <w:r>
        <w:rPr>
          <w:sz w:val="20"/>
        </w:rPr>
        <w:t>2402 Milam Street, #4312</w:t>
      </w:r>
    </w:p>
    <w:p>
      <w:pPr>
        <w:pStyle w:val="Normal"/>
        <w:tabs>
          <w:tab w:val="clear" w:pos="720"/>
          <w:tab w:val="center" w:pos="5112"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tab/>
        <w:t>Houston, Texas 77006</w:t>
      </w:r>
    </w:p>
    <w:p>
      <w:pPr>
        <w:pStyle w:val="Normal"/>
        <w:tabs>
          <w:tab w:val="clear" w:pos="720"/>
          <w:tab w:val="center" w:pos="5112"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tab/>
        <w:t>(713) 528-4674</w:t>
      </w:r>
    </w:p>
    <w:p>
      <w:pPr>
        <w:pStyle w:val="Normal"/>
        <w:tabs>
          <w:tab w:val="clear" w:pos="720"/>
          <w:tab w:val="center" w:pos="5112"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u w:val="single"/>
        </w:rPr>
        <w:tab/>
        <w:tab/>
        <w:tab/>
        <w:tab/>
        <w:tab/>
        <w:tab/>
        <w:tab/>
        <w:tab/>
      </w:r>
    </w:p>
    <w:p>
      <w:pPr>
        <w:pStyle w:val="Normal"/>
        <w:tabs>
          <w:tab w:val="clear" w:pos="720"/>
          <w:tab w:val="center" w:pos="5112"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EDUCATION:</w:t>
        <w:tab/>
        <w:t>Indiana University School of Law</w:t>
      </w:r>
      <w:r>
        <w:rPr/>
        <w:t>, Bloomington, IN</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78" w:start="2088" w:end="0"/>
        <w:jc w:val="both"/>
        <w:rPr/>
      </w:pPr>
      <w:r>
        <w:rPr/>
        <w:t xml:space="preserve">J.D., </w:t>
      </w:r>
      <w:r>
        <w:rPr>
          <w:i/>
        </w:rPr>
        <w:t>cum laude</w:t>
      </w:r>
      <w:r>
        <w:rPr/>
        <w:t>, May 1989</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366" w:end="0"/>
        <w:jc w:val="both"/>
        <w:rPr/>
      </w:pPr>
      <w:r>
        <w:rPr/>
        <w:t>approx. class rank: top 13%</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8" w:start="2088" w:end="0"/>
        <w:jc w:val="both"/>
        <w:rPr/>
      </w:pPr>
      <w:r>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8" w:start="2088" w:end="0"/>
        <w:jc w:val="both"/>
        <w:rPr/>
      </w:pPr>
      <w:r>
        <w:rPr>
          <w:b/>
        </w:rPr>
        <w:t>Wayne State University</w:t>
      </w:r>
      <w:r>
        <w:rPr/>
        <w:t>,</w:t>
      </w:r>
      <w:r>
        <w:rPr>
          <w:b/>
        </w:rPr>
        <w:t xml:space="preserve"> </w:t>
      </w:r>
      <w:r>
        <w:rPr/>
        <w:t>Detroit, MI</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78" w:start="2088" w:end="0"/>
        <w:jc w:val="both"/>
        <w:rPr/>
      </w:pPr>
      <w:r>
        <w:rPr/>
        <w:t>M.B.A., July 1986</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78" w:start="2088" w:end="0"/>
        <w:jc w:val="both"/>
        <w:rPr/>
      </w:pPr>
      <w:r>
        <w:rPr/>
        <w:t>Concentration: finance</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088" w:end="0"/>
        <w:jc w:val="both"/>
        <w:rPr/>
      </w:pPr>
      <w:r>
        <w:rPr>
          <w:b/>
        </w:rPr>
        <w:t>University of Michigan</w:t>
      </w:r>
      <w:r>
        <w:rPr/>
        <w:t>, Ann Arbor, MI</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78" w:start="2088" w:end="0"/>
        <w:jc w:val="both"/>
        <w:rPr/>
      </w:pPr>
      <w:r>
        <w:rPr/>
        <w:t>B.A., May 1984</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366" w:end="0"/>
        <w:jc w:val="both"/>
        <w:rPr/>
      </w:pPr>
      <w:r>
        <w:rPr/>
        <w:t>Concentrations: economics and accounting</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EXPERIENCE:</w:t>
        <w:tab/>
        <w:t>ENRON CORP.</w:t>
      </w:r>
      <w:r>
        <w:rPr/>
        <w:t>, Houston, TX</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048" w:start="2366" w:end="0"/>
        <w:jc w:val="both"/>
        <w:rPr/>
      </w:pPr>
      <w:r>
        <w:rPr>
          <w:rFonts w:eastAsia="CG Times"/>
        </w:rPr>
        <w:t xml:space="preserve"> </w:t>
      </w:r>
      <w:r>
        <w:rPr/>
        <w:t>6/99-present</w:t>
        <w:tab/>
        <w:tab/>
      </w:r>
      <w:r>
        <w:rPr>
          <w:b/>
        </w:rPr>
        <w:t>Senior Counsel.</w:t>
      </w:r>
      <w:r>
        <w:rPr/>
        <w:t xml:space="preserve">  Senior attorney for Asia Pacific development group in connection with new business development, strategic alliances, joint ventures, acquisitions, venture capital transactions and financings in the energy and Internet sectors.  </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eastAsia="CG Times"/>
        </w:rPr>
        <w:t xml:space="preserve">     </w:t>
      </w:r>
      <w:r>
        <w:rPr/>
        <w:t>1/98-6/99</w:t>
        <w:tab/>
        <w:tab/>
      </w:r>
      <w:r>
        <w:rPr>
          <w:b/>
        </w:rPr>
        <w:t xml:space="preserve">CONSULTING SERVICES, </w:t>
      </w:r>
      <w:r>
        <w:rPr/>
        <w:t>Dallas, TX</w:t>
      </w:r>
    </w:p>
    <w:p>
      <w:pPr>
        <w:pStyle w:val="BodyTextIndent"/>
        <w:rPr/>
      </w:pPr>
      <w:r>
        <w:rPr/>
        <w:tab/>
        <w:tab/>
        <w:tab/>
        <w:tab/>
        <w:t>Self-employed consultant providing transactional advice and legal services to venture capital firm established by former Blockbuster senior executives.</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eastAsia="CG Times"/>
          <w:b/>
        </w:rPr>
        <w:t xml:space="preserve">      </w:t>
      </w:r>
      <w:r>
        <w:rPr/>
        <w:t>9/95-11/97</w:t>
      </w:r>
      <w:r>
        <w:rPr>
          <w:b/>
        </w:rPr>
        <w:tab/>
        <w:t>BLOCKBUSTER ENTERTAINMENT GROUP</w:t>
      </w:r>
      <w:r>
        <w:rPr/>
        <w:t>, Dallas, TX</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286" w:start="1646" w:end="0"/>
        <w:jc w:val="both"/>
        <w:rPr/>
      </w:pPr>
      <w:r>
        <w:rPr>
          <w:rFonts w:eastAsia="CG Times"/>
        </w:rPr>
        <w:t xml:space="preserve"> </w:t>
      </w:r>
      <w:r>
        <w:rPr/>
        <w:t>5/96-11/97</w:t>
      </w:r>
      <w:r>
        <w:rPr>
          <w:b/>
        </w:rPr>
        <w:tab/>
        <w:tab/>
        <w:t>Vice President and Assistant General Counsel – Mergers and Acquisitions.</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2366" w:end="0"/>
        <w:jc w:val="both"/>
        <w:rPr/>
      </w:pPr>
      <w:r>
        <w:rPr/>
        <w:t>Managing attorney in charge of in-house transactional group with primary responsibility (legal and commercial) for transactions in which Blockbuster engaged worldwide. Over 50 transactions closed in 1996-97.</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50" w:end="0"/>
        <w:jc w:val="both"/>
        <w:rPr/>
      </w:pPr>
      <w:r>
        <w:rPr/>
        <w:tab/>
        <w:tab/>
        <w:tab/>
        <w:tab/>
        <w:tab/>
        <w:t>Practice included:</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2688" w:end="0"/>
        <w:jc w:val="both"/>
        <w:rPr/>
      </w:pPr>
      <w:r>
        <w:rPr>
          <w:sz w:val="14"/>
        </w:rPr>
        <w:t>•</w:t>
      </w:r>
      <w:r>
        <w:rPr>
          <w:rFonts w:eastAsia="CG Times"/>
        </w:rPr>
        <w:t xml:space="preserve">    </w:t>
      </w:r>
      <w:r>
        <w:rPr/>
        <w:t>Negotiating and documenting stock and asset acquisitions and dispositions,      joint ventures and venture capital transactions domestically and abroad.</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75" w:start="3063" w:end="0"/>
        <w:jc w:val="both"/>
        <w:rPr/>
      </w:pPr>
      <w:r>
        <w:rPr>
          <w:sz w:val="14"/>
        </w:rPr>
        <w:t>•</w:t>
      </w:r>
      <w:r>
        <w:rPr>
          <w:sz w:val="14"/>
        </w:rPr>
        <w:tab/>
        <w:t xml:space="preserve"> </w:t>
      </w:r>
      <w:r>
        <w:rPr/>
        <w:t>Managing acquisition team and in-house and outside counsel in connection with a variety of transactions and related matters.</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75" w:start="3063" w:end="0"/>
        <w:jc w:val="both"/>
        <w:rPr/>
      </w:pPr>
      <w:r>
        <w:rPr>
          <w:sz w:val="14"/>
        </w:rPr>
        <w:t>•</w:t>
      </w:r>
      <w:r>
        <w:rPr>
          <w:sz w:val="14"/>
        </w:rPr>
        <w:tab/>
        <w:t xml:space="preserve">  </w:t>
      </w:r>
      <w:r>
        <w:rPr/>
        <w:t>Working abroad for approximately five months during 1996-97 and serving as principal on transactions in Ireland, Northern Ireland, Denmark, Spain, Poland, England and Mexico.</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75" w:start="3063" w:end="0"/>
        <w:jc w:val="both"/>
        <w:rPr/>
      </w:pPr>
      <w:r>
        <w:rPr>
          <w:sz w:val="14"/>
        </w:rPr>
        <w:t>•</w:t>
      </w:r>
      <w:r>
        <w:rPr>
          <w:sz w:val="14"/>
        </w:rPr>
        <w:tab/>
        <w:t xml:space="preserve">  </w:t>
      </w:r>
      <w:r>
        <w:rPr/>
        <w:t>Assistant Corporate Secretary for Blockbuster and its subsidiaries.</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75" w:start="3063" w:end="0"/>
        <w:jc w:val="both"/>
        <w:rPr/>
      </w:pPr>
      <w:r>
        <w:rPr>
          <w:sz w:val="14"/>
        </w:rPr>
        <w:t>•</w:t>
      </w:r>
      <w:r>
        <w:rPr/>
        <w:tab/>
        <w:t xml:space="preserve"> Initiating and implementing subsidiary reduction program.</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ab/>
        <w:tab/>
        <w:tab/>
        <w:tab/>
      </w:r>
      <w:r>
        <w:rPr>
          <w:sz w:val="14"/>
        </w:rPr>
        <w:t>•</w:t>
      </w:r>
      <w:r>
        <w:rPr/>
        <w:tab/>
        <w:t xml:space="preserve"> General corporate counseling and dispute resolution.</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ab/>
        <w:tab/>
        <w:tab/>
        <w:tab/>
      </w:r>
      <w:r>
        <w:rPr>
          <w:sz w:val="14"/>
        </w:rPr>
        <w:tab/>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370" w:start="2688" w:end="0"/>
        <w:jc w:val="both"/>
        <w:rPr/>
      </w:pPr>
      <w:r>
        <w:rPr/>
        <w:t>9/95-5/96</w:t>
      </w:r>
      <w:r>
        <w:rPr>
          <w:b/>
        </w:rPr>
        <w:tab/>
        <w:tab/>
        <w:tab/>
        <w:t xml:space="preserve"> Senior Counsel – Mergers and Acquisitions.</w:t>
      </w:r>
      <w:r>
        <w:rPr/>
        <w:t xml:space="preserve"> Senior attorney with primary legal responsibility for all major transactions in which Blockbuster engaged.</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8" w:end="0"/>
        <w:jc w:val="both"/>
        <w:rPr/>
      </w:pPr>
      <w:r>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8" w:end="0"/>
        <w:jc w:val="both"/>
        <w:rPr/>
      </w:pPr>
      <w:r>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8" w:end="0"/>
        <w:jc w:val="both"/>
        <w:rPr/>
      </w:pPr>
      <w:r>
        <w:rPr/>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8" w:end="0"/>
        <w:jc w:val="both"/>
        <w:rPr/>
      </w:pPr>
      <w:r>
        <w:rPr/>
        <w:t>Practice included:</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2688" w:end="0"/>
        <w:jc w:val="both"/>
        <w:rPr/>
      </w:pPr>
      <w:r>
        <w:rPr>
          <w:sz w:val="14"/>
        </w:rPr>
        <w:t>•</w:t>
      </w:r>
      <w:r>
        <w:rPr>
          <w:rFonts w:eastAsia="CG Times"/>
        </w:rPr>
        <w:t xml:space="preserve">    </w:t>
      </w:r>
      <w:r>
        <w:rPr/>
        <w:t>Negotiating and documenting stock and asset acquisitions and dispositions      and joint ventures domestically and abroad.</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3048" w:end="0"/>
        <w:jc w:val="both"/>
        <w:rPr/>
      </w:pPr>
      <w:r>
        <w:rPr>
          <w:sz w:val="14"/>
        </w:rPr>
        <w:t>•</w:t>
      </w:r>
      <w:r>
        <w:rPr/>
        <w:tab/>
        <w:t xml:space="preserve"> Managing outside counsel in connection with a variety of transactions and related matters.</w:t>
        <w:tab/>
        <w:tab/>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8" w:end="0"/>
        <w:jc w:val="both"/>
        <w:rPr/>
      </w:pPr>
      <w:r>
        <w:rPr>
          <w:sz w:val="14"/>
        </w:rPr>
        <w:t>•</w:t>
      </w:r>
      <w:r>
        <w:rPr/>
        <w:tab/>
        <w:t xml:space="preserve"> General corporate counseling and dispute resolution.</w:t>
        <w:tab/>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976" w:end="0"/>
        <w:jc w:val="both"/>
        <w:rPr/>
      </w:pPr>
      <w:r>
        <w:rPr>
          <w:rFonts w:eastAsia="CG Times"/>
        </w:rPr>
        <w:t xml:space="preserve">  </w:t>
      </w:r>
      <w:r>
        <w:rPr/>
        <w:tab/>
      </w:r>
    </w:p>
    <w:p>
      <w:pPr>
        <w:pStyle w:val="Normal"/>
        <w:numPr>
          <w:ilvl w:val="0"/>
          <w:numId w:val="0"/>
        </w:numPr>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pPr>
      <w:r>
        <w:rPr>
          <w:rFonts w:eastAsia="CG Times"/>
        </w:rPr>
        <w:t xml:space="preserve">   </w:t>
      </w:r>
      <w:r>
        <w:rPr/>
        <w:t>8/93-9/95</w:t>
        <w:tab/>
        <w:tab/>
      </w:r>
      <w:r>
        <w:rPr>
          <w:b/>
        </w:rPr>
        <w:t>WASTE MANAGEMENT, INC.</w:t>
      </w:r>
      <w:r>
        <w:rPr/>
        <w:t>, Oak Brook, IL</w:t>
      </w:r>
    </w:p>
    <w:p>
      <w:pPr>
        <w:pStyle w:val="Heading1"/>
        <w:ind w:hanging="0" w:end="0"/>
        <w:rPr/>
      </w:pPr>
      <w:r>
        <w:rPr>
          <w:b w:val="false"/>
        </w:rPr>
        <w:tab/>
        <w:tab/>
        <w:tab/>
        <w:tab/>
        <w:t xml:space="preserve"> </w:t>
      </w:r>
      <w:r>
        <w:rPr/>
        <w:t>Corporate Counsel.</w:t>
      </w:r>
    </w:p>
    <w:p>
      <w:pPr>
        <w:pStyle w:val="Normal"/>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8" w:end="0"/>
        <w:jc w:val="both"/>
        <w:rPr/>
      </w:pPr>
      <w:r>
        <w:rPr/>
        <w:t>Practice included:</w:t>
      </w:r>
    </w:p>
    <w:p>
      <w:pPr>
        <w:sectPr>
          <w:type w:val="nextPage"/>
          <w:pgSz w:w="12240" w:h="15840"/>
          <w:pgMar w:left="1008" w:right="1008" w:gutter="0" w:header="0" w:top="1008" w:footer="0" w:bottom="662"/>
          <w:pgNumType w:fmt="decimal"/>
          <w:formProt w:val="false"/>
          <w:textDirection w:val="lrTb"/>
          <w:docGrid w:type="default" w:linePitch="360" w:charSpace="0"/>
        </w:sectPr>
      </w:pP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577" w:start="3099" w:end="0"/>
        <w:jc w:val="both"/>
        <w:rPr/>
      </w:pPr>
      <w:r>
        <w:rPr>
          <w:sz w:val="14"/>
        </w:rPr>
        <w:tab/>
        <w:tab/>
        <w:tab/>
        <w:tab/>
        <w:tab/>
        <w:tab/>
        <w:t>•</w:t>
      </w:r>
      <w:r>
        <w:rPr/>
        <w:tab/>
        <w:t>Negotiating and documenting stock and asset acquisitions and dispositions and joint ventures for Rust International Inc. ("Rust") and Wheelabrator Technologies Inc. ("Wheelabrator"), both publicly traded New York Stock Exchange listed, controlled subsidiaries of Waste Management, Inc.</w:t>
      </w: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Handling all aspects of various commercial credit transactions and bank-related matters for Rust and Wheelabrator.</w:t>
      </w: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Effecting various mergers and corporate reorganizations including implementation of subsidiary reduction program.</w:t>
      </w: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Preparing annual reports on Form 10-K for Rust and Wheelabrator.</w:t>
      </w: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Assistant Corporate Secretary for Rust and Wheelabrator and their respective subsidiaries.</w:t>
      </w: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Preparing meeting materials for Board of Directors of both Rust and Wheelabrator; attending Board meetings for both companies; and performing various corporate secretarial functions for both companies.</w:t>
      </w: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General corporate counseling and dispute resolution.</w:t>
      </w:r>
    </w:p>
    <w:p>
      <w:pPr>
        <w:pStyle w:val="Normal"/>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r>
    </w:p>
    <w:p>
      <w:pPr>
        <w:pStyle w:val="Normal"/>
        <w:numPr>
          <w:ilvl w:val="0"/>
          <w:numId w:val="0"/>
        </w:numPr>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sz w:val="16"/>
        </w:rPr>
      </w:pPr>
      <w:r>
        <w:rPr/>
        <w:t>9/89-8/93</w:t>
        <w:tab/>
        <w:tab/>
        <w:tab/>
        <w:tab/>
      </w:r>
      <w:r>
        <w:rPr>
          <w:b/>
        </w:rPr>
        <w:t>SCHIFF HARDIN &amp; WAITE</w:t>
      </w:r>
      <w:r>
        <w:rPr/>
        <w:t>, Chicago, IL</w:t>
      </w:r>
    </w:p>
    <w:p>
      <w:pPr>
        <w:pStyle w:val="Normal"/>
        <w:tabs>
          <w:tab w:val="left" w:pos="-720" w:leader="none"/>
          <w:tab w:val="left" w:pos="0" w:leader="none"/>
          <w:tab w:val="left" w:pos="720" w:leader="none"/>
          <w:tab w:val="left" w:pos="1440" w:leader="none"/>
          <w:tab w:val="left" w:pos="1663" w:leader="none"/>
          <w:tab w:val="left" w:pos="1940"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445" w:start="2682" w:end="0"/>
        <w:jc w:val="both"/>
        <w:rPr/>
      </w:pPr>
      <w:r>
        <w:rPr>
          <w:rFonts w:eastAsia="CG Times"/>
          <w:sz w:val="16"/>
        </w:rPr>
        <w:t xml:space="preserve">     </w:t>
      </w:r>
      <w:r>
        <w:rPr>
          <w:sz w:val="16"/>
        </w:rPr>
        <w:tab/>
      </w:r>
      <w:r>
        <w:rPr/>
        <w:tab/>
        <w:tab/>
        <w:tab/>
        <w:t xml:space="preserve">       </w:t>
      </w:r>
      <w:r>
        <w:rPr>
          <w:b/>
        </w:rPr>
        <w:t xml:space="preserve">Associate </w:t>
      </w:r>
      <w:r>
        <w:rPr/>
        <w:t>in corporate and securities transactional group with some litigation experience.</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2" w:end="0"/>
        <w:jc w:val="both"/>
        <w:rPr/>
      </w:pPr>
      <w:r>
        <w:rPr/>
        <w:t>Transactional experience involved:</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Stock and asset acquisitions and dispositions.</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Commercial lending transactions.</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Public offerings of debt and equity securities.</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 xml:space="preserve">General corporate counseling including litigation advice and the negotiation and preparation of a variety of transaction- and litigation- related agreements. </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2" w:end="0"/>
        <w:jc w:val="both"/>
        <w:rPr/>
      </w:pPr>
      <w:r>
        <w:rPr/>
        <w:t>Litigation experience involved:</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Representing creditors in various bankruptcy matters.</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Representing plaintiffs and defendants in various contract and warranty disputes.</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Litigating trade secret misappropriation and landlord/tenant cases.</w:t>
      </w:r>
    </w:p>
    <w:p>
      <w:pPr>
        <w:pStyle w:val="Normal"/>
        <w:tabs>
          <w:tab w:val="left" w:pos="-720" w:leader="none"/>
          <w:tab w:val="left" w:pos="0" w:leader="none"/>
          <w:tab w:val="left" w:pos="720" w:leader="none"/>
          <w:tab w:val="left" w:pos="1440" w:leader="none"/>
          <w:tab w:val="left" w:pos="1663" w:leader="none"/>
          <w:tab w:val="left" w:pos="1940" w:leader="none"/>
          <w:tab w:val="left" w:pos="2427"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Drafting motions and briefs in cases before state and federal courts and negotiating and documenting settlements.</w:t>
      </w:r>
    </w:p>
    <w:p>
      <w:pPr>
        <w:pStyle w:val="Normal"/>
        <w:numPr>
          <w:ilvl w:val="0"/>
          <w:numId w:val="0"/>
        </w:numPr>
        <w:tabs>
          <w:tab w:val="left" w:pos="-720" w:leader="none"/>
          <w:tab w:val="left" w:pos="0" w:leader="none"/>
          <w:tab w:val="left" w:pos="720" w:leader="none"/>
          <w:tab w:val="left" w:pos="1440" w:leader="none"/>
          <w:tab w:val="left" w:pos="2217" w:leader="none"/>
          <w:tab w:val="left" w:pos="2494" w:leader="none"/>
        </w:tabs>
        <w:jc w:val="both"/>
        <w:outlineLvl w:val="0"/>
        <w:rPr/>
      </w:pPr>
      <w:r>
        <w:rPr/>
      </w:r>
    </w:p>
    <w:p>
      <w:pPr>
        <w:pStyle w:val="Normal"/>
        <w:numPr>
          <w:ilvl w:val="0"/>
          <w:numId w:val="0"/>
        </w:numPr>
        <w:tabs>
          <w:tab w:val="left" w:pos="-720" w:leader="none"/>
          <w:tab w:val="left" w:pos="0" w:leader="none"/>
          <w:tab w:val="left" w:pos="720" w:leader="none"/>
          <w:tab w:val="left" w:pos="1440" w:leader="none"/>
          <w:tab w:val="left" w:pos="2217" w:leader="none"/>
          <w:tab w:val="left" w:pos="2494" w:leader="none"/>
        </w:tabs>
        <w:jc w:val="both"/>
        <w:outlineLvl w:val="0"/>
        <w:rPr>
          <w:b/>
        </w:rPr>
      </w:pPr>
      <w:r>
        <w:rPr>
          <w:b/>
        </w:rPr>
        <w:t>PROFESSIONAL</w:t>
      </w:r>
    </w:p>
    <w:p>
      <w:pPr>
        <w:pStyle w:val="Normal"/>
        <w:tabs>
          <w:tab w:val="left" w:pos="-720" w:leader="none"/>
          <w:tab w:val="left" w:pos="0" w:leader="none"/>
          <w:tab w:val="left" w:pos="720" w:leader="none"/>
          <w:tab w:val="left" w:pos="1440" w:leader="none"/>
          <w:tab w:val="left" w:pos="2217" w:leader="none"/>
          <w:tab w:val="left" w:pos="2494" w:leader="none"/>
        </w:tabs>
        <w:ind w:hanging="2494" w:start="2494" w:end="0"/>
        <w:jc w:val="both"/>
        <w:rPr/>
      </w:pPr>
      <w:r>
        <w:rPr>
          <w:b/>
        </w:rPr>
        <w:t>AFFILIATIONS:</w:t>
      </w:r>
      <w:r>
        <w:rPr/>
        <w:tab/>
        <w:tab/>
        <w:t>Admitted to practice in the State of Illinois and the United States District Court for the Northern District of Illinois; Member of the American Bar Association.</w:t>
      </w:r>
    </w:p>
    <w:p>
      <w:pPr>
        <w:pStyle w:val="Normal"/>
        <w:tabs>
          <w:tab w:val="left" w:pos="-720" w:leader="none"/>
          <w:tab w:val="left" w:pos="0" w:leader="none"/>
          <w:tab w:val="left" w:pos="720" w:leader="none"/>
          <w:tab w:val="left" w:pos="1440" w:leader="none"/>
          <w:tab w:val="left" w:pos="2217" w:leader="none"/>
          <w:tab w:val="left" w:pos="2494" w:leader="none"/>
        </w:tabs>
        <w:jc w:val="both"/>
        <w:rPr/>
      </w:pPr>
      <w:r>
        <w:rPr/>
      </w:r>
    </w:p>
    <w:p>
      <w:pPr>
        <w:pStyle w:val="Normal"/>
        <w:numPr>
          <w:ilvl w:val="0"/>
          <w:numId w:val="0"/>
        </w:numPr>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b/>
        </w:rPr>
      </w:pPr>
      <w:r>
        <w:rPr>
          <w:b/>
        </w:rPr>
      </w:r>
    </w:p>
    <w:p>
      <w:pPr>
        <w:pStyle w:val="Normal"/>
        <w:numPr>
          <w:ilvl w:val="0"/>
          <w:numId w:val="0"/>
        </w:numPr>
        <w:tabs>
          <w:tab w:val="left" w:pos="-720" w:leader="none"/>
          <w:tab w:val="left" w:pos="0" w:leader="none"/>
          <w:tab w:val="left" w:pos="720" w:leader="none"/>
          <w:tab w:val="left" w:pos="1440" w:leader="none"/>
          <w:tab w:val="left" w:pos="1663" w:leader="none"/>
          <w:tab w:val="left" w:pos="1940" w:leader="none"/>
          <w:tab w:val="left" w:pos="2125"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outlineLvl w:val="0"/>
        <w:rPr>
          <w:b/>
        </w:rPr>
      </w:pPr>
      <w:r>
        <w:rPr>
          <w:b/>
        </w:rPr>
        <w:t>DESCRIPTION OF</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EMPLOYERS:</w:t>
      </w:r>
      <w:r>
        <w:rPr/>
        <w:tab/>
        <w:tab/>
        <w:tab/>
      </w:r>
      <w:r>
        <w:rPr>
          <w:b/>
        </w:rPr>
        <w:t>Enron Corp.</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 xml:space="preserve">A leading electricity, natural gas and communications company, which owns approx. $34 billion in energy and communications assets, produces electricity and natural gas, develops, constructs and operates energy facilities worldwide, delivers commodities and financial and risk management services worldwide, and is developing a broadband services and trading business to facilitate e-commerce. </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sz w:val="14"/>
        </w:rPr>
        <w:tab/>
        <w:tab/>
        <w:tab/>
        <w:tab/>
        <w:tab/>
        <w:tab/>
        <w:t>•</w:t>
      </w:r>
      <w:r>
        <w:rPr/>
        <w:tab/>
        <w:t>1998 Revenue - $31.3 billion.</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ab/>
        <w:tab/>
        <w:tab/>
        <w:tab/>
      </w:r>
      <w:r>
        <w:rPr>
          <w:b/>
        </w:rPr>
        <w:t>Blockbuster Entertainment Group</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2" w:end="0"/>
        <w:jc w:val="both"/>
        <w:rPr/>
      </w:pPr>
      <w:r>
        <w:rPr>
          <w:sz w:val="14"/>
        </w:rPr>
        <w:t>•</w:t>
      </w:r>
      <w:r>
        <w:rPr/>
        <w:tab/>
        <w:t xml:space="preserve">The leading worldwide owner, operator and franchisor of video stores and </w:t>
        <w:tab/>
        <w:tab/>
        <w:tab/>
        <w:tab/>
        <w:tab/>
        <w:tab/>
        <w:tab/>
        <w:t>a leading retailer of prerecorded music in the United States.</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682" w:end="0"/>
        <w:jc w:val="both"/>
        <w:rPr/>
      </w:pPr>
      <w:r>
        <w:rPr>
          <w:sz w:val="14"/>
        </w:rPr>
        <w:t>•</w:t>
      </w:r>
      <w:r>
        <w:rPr/>
        <w:tab/>
        <w:t>1996 Revenue - $3.9 billion.</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numPr>
          <w:ilvl w:val="0"/>
          <w:numId w:val="0"/>
        </w:numPr>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469" w:end="0"/>
        <w:jc w:val="both"/>
        <w:outlineLvl w:val="0"/>
        <w:rPr>
          <w:b/>
        </w:rPr>
      </w:pPr>
      <w:r>
        <w:rPr>
          <w:b/>
        </w:rPr>
        <w:t>Rust International Inc.</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A leading provider of engineering, construction, environmental and infrastructure consulting, hazardous substance remediation and on-site industrial services.</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1994 Revenue - $1.68 billion.</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numPr>
          <w:ilvl w:val="0"/>
          <w:numId w:val="0"/>
        </w:numPr>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469" w:end="0"/>
        <w:jc w:val="both"/>
        <w:outlineLvl w:val="0"/>
        <w:rPr>
          <w:b/>
        </w:rPr>
      </w:pPr>
      <w:r>
        <w:rPr>
          <w:b/>
        </w:rPr>
        <w:t>Wheelabrator Technologies Inc.</w:t>
      </w:r>
    </w:p>
    <w:p>
      <w:pPr>
        <w:sectPr>
          <w:type w:val="continuous"/>
          <w:pgSz w:w="12240" w:h="15840"/>
          <w:pgMar w:left="1008" w:right="1008" w:gutter="0" w:header="0" w:top="1008" w:footer="0" w:bottom="662"/>
          <w:formProt w:val="false"/>
          <w:textDirection w:val="lrTb"/>
          <w:docGrid w:type="default" w:linePitch="360" w:charSpace="0"/>
        </w:sectPr>
      </w:pP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A leading developer of facilities and systems for, and provider of services to, the trash-to-energy, environmental and general industrial markets; including water and wastewater treatment systems, equipment and facility operation, and air pollution control systems.</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417" w:start="3099" w:end="0"/>
        <w:jc w:val="both"/>
        <w:rPr/>
      </w:pPr>
      <w:r>
        <w:rPr>
          <w:sz w:val="14"/>
        </w:rPr>
        <w:t>•</w:t>
      </w:r>
      <w:r>
        <w:rPr/>
        <w:tab/>
        <w:t>1994 Revenue - $1.32 billion.</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jc w:val="both"/>
        <w:rPr>
          <w:b/>
        </w:rPr>
      </w:pPr>
      <w:r>
        <w:rPr/>
        <w:tab/>
        <w:tab/>
        <w:tab/>
        <w:t xml:space="preserve"> </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jc w:val="both"/>
        <w:rPr>
          <w:b/>
        </w:rPr>
      </w:pPr>
      <w:r>
        <w:rPr>
          <w:b/>
        </w:rPr>
        <w:tab/>
        <w:tab/>
        <w:tab/>
        <w:t xml:space="preserve"> Schiff Hardin &amp; Waite</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659" w:start="3099" w:end="0"/>
        <w:jc w:val="both"/>
        <w:rPr>
          <w:b/>
        </w:rPr>
      </w:pPr>
      <w:r>
        <w:rPr>
          <w:b/>
        </w:rPr>
        <w:tab/>
        <w:tab/>
        <w:tab/>
        <w:tab/>
      </w:r>
      <w:r>
        <w:rPr>
          <w:sz w:val="14"/>
        </w:rPr>
        <w:t xml:space="preserve">• </w:t>
      </w:r>
      <w:r>
        <w:rPr/>
        <w:tab/>
        <w:t>A large Chicago-based law firm with over 200 attorneys and offices in Chicago, Washington D.C. and New York City.</w:t>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45"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tab/>
        <w:tab/>
        <w:tab/>
        <w:tab/>
        <w:tab/>
      </w:r>
    </w:p>
    <w:p>
      <w:pPr>
        <w:pStyle w:val="Normal"/>
        <w:tabs>
          <w:tab w:val="left" w:pos="-720" w:leader="none"/>
          <w:tab w:val="left" w:pos="0" w:leader="none"/>
          <w:tab w:val="left" w:pos="720" w:leader="none"/>
          <w:tab w:val="left" w:pos="1440" w:leader="none"/>
          <w:tab w:val="left" w:pos="1663" w:leader="none"/>
          <w:tab w:val="left" w:pos="1940" w:leader="none"/>
          <w:tab w:val="left" w:pos="2469" w:leader="none"/>
          <w:tab w:val="left" w:pos="2682" w:leader="none"/>
          <w:tab w:val="left" w:pos="3045" w:leader="none"/>
          <w:tab w:val="left" w:pos="3099"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INTERESTS</w:t>
      </w:r>
      <w:r>
        <w:rPr/>
        <w:t xml:space="preserve">    </w:t>
        <w:tab/>
      </w:r>
    </w:p>
    <w:p>
      <w:pPr>
        <w:pStyle w:val="Normal"/>
        <w:tabs>
          <w:tab w:val="left" w:pos="-720" w:leader="none"/>
          <w:tab w:val="left" w:pos="0" w:leader="none"/>
          <w:tab w:val="left" w:pos="720" w:leader="none"/>
          <w:tab w:val="left" w:pos="1440" w:leader="none"/>
          <w:tab w:val="left" w:pos="2451" w:leader="none"/>
          <w:tab w:val="left" w:pos="3270" w:leader="none"/>
        </w:tabs>
        <w:jc w:val="both"/>
        <w:rPr/>
      </w:pPr>
      <w:r>
        <w:rPr>
          <w:b/>
        </w:rPr>
        <w:t>AND ACTIVITIES:</w:t>
      </w:r>
      <w:r>
        <w:rPr/>
        <w:tab/>
        <w:t xml:space="preserve">Fishing, Blues Guitar, Skiing, Tennis, Travel </w:t>
      </w:r>
    </w:p>
    <w:p>
      <w:pPr>
        <w:pStyle w:val="Normal"/>
        <w:tabs>
          <w:tab w:val="left" w:pos="-720" w:leader="none"/>
          <w:tab w:val="left" w:pos="0" w:leader="none"/>
          <w:tab w:val="left" w:pos="720" w:leader="none"/>
          <w:tab w:val="left" w:pos="1440" w:leader="none"/>
          <w:tab w:val="left" w:pos="2451" w:leader="none"/>
          <w:tab w:val="left" w:pos="3270" w:leader="none"/>
        </w:tabs>
        <w:jc w:val="both"/>
        <w:rPr/>
      </w:pPr>
      <w:r>
        <w:rPr/>
      </w:r>
    </w:p>
    <w:p>
      <w:pPr>
        <w:pStyle w:val="Normal"/>
        <w:tabs>
          <w:tab w:val="left" w:pos="-720" w:leader="none"/>
          <w:tab w:val="left" w:pos="0" w:leader="none"/>
          <w:tab w:val="left" w:pos="720" w:leader="none"/>
          <w:tab w:val="left" w:pos="1440" w:leader="none"/>
          <w:tab w:val="left" w:pos="2451" w:leader="none"/>
          <w:tab w:val="left" w:pos="3270" w:leader="none"/>
        </w:tabs>
        <w:jc w:val="both"/>
        <w:rPr/>
      </w:pPr>
      <w:r>
        <w:rPr>
          <w:b/>
        </w:rPr>
        <w:t>REFERENCES:</w:t>
      </w:r>
      <w:r>
        <w:rPr/>
        <w:tab/>
        <w:t xml:space="preserve">Available upon request. </w:t>
      </w:r>
    </w:p>
    <w:sectPr>
      <w:type w:val="continuous"/>
      <w:pgSz w:w="12240" w:h="15840"/>
      <w:pgMar w:left="1008" w:right="1008" w:gutter="0" w:header="0" w:top="1008" w:footer="0" w:bottom="66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keepNext w:val="true"/>
      <w:numPr>
        <w:ilvl w:val="0"/>
        <w:numId w:val="1"/>
      </w:numPr>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366" w:start="0" w:end="0"/>
      <w:jc w:val="both"/>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088" w:leader="none"/>
        <w:tab w:val="left" w:pos="2366" w:leader="none"/>
        <w:tab w:val="left" w:pos="2688" w:leader="none"/>
        <w:tab w:val="left" w:pos="2976"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364" w:start="2364"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1998-10-27T20:24:00Z</dcterms:created>
  <dc:creator>William C. Krenz</dc:creator>
  <dc:description/>
  <dc:language>en-CA</dc:language>
  <cp:lastModifiedBy>EI</cp:lastModifiedBy>
  <cp:lastPrinted>2000-05-08T16:03:00Z</cp:lastPrinted>
  <dcterms:modified xsi:type="dcterms:W3CDTF">2000-05-08T18:43:00Z</dcterms:modified>
  <cp:revision>30</cp:revision>
  <dc:subject/>
  <dc:title/>
</cp:coreProperties>
</file>