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60" w:after="60"/>
        <w:rPr>
          <w:sz w:val="2"/>
        </w:rPr>
      </w:pPr>
      <w:r>
        <w:rPr>
          <w:sz w:val="2"/>
        </w:rPr>
      </w:r>
      <w:r>
        <mc:AlternateContent>
          <mc:Choice Requires="wps">
            <w:drawing>
              <wp:anchor behindDoc="0" distT="0" distB="0" distL="114300" distR="114300" simplePos="0" locked="0" layoutInCell="0" allowOverlap="1" relativeHeight="2">
                <wp:simplePos x="0" y="0"/>
                <wp:positionH relativeFrom="page">
                  <wp:posOffset>1057910</wp:posOffset>
                </wp:positionH>
                <wp:positionV relativeFrom="paragraph">
                  <wp:posOffset>-647065</wp:posOffset>
                </wp:positionV>
                <wp:extent cx="3820160" cy="1967230"/>
                <wp:effectExtent l="0" t="0" r="0" b="0"/>
                <wp:wrapSquare wrapText="bothSides"/>
                <wp:docPr id="1" name="Frame1"/>
                <a:graphic xmlns:a="http://schemas.openxmlformats.org/drawingml/2006/main">
                  <a:graphicData uri="http://schemas.microsoft.com/office/word/2010/wordprocessingShape">
                    <wps:wsp>
                      <wps:cNvSpPr txBox="1"/>
                      <wps:spPr>
                        <a:xfrm>
                          <a:off x="0" y="0"/>
                          <a:ext cx="3820160" cy="1967230"/>
                        </a:xfrm>
                        <a:prstGeom prst="rect"/>
                        <a:solidFill>
                          <a:srgbClr val="FFFFFF">
                            <a:alpha val="0"/>
                          </a:srgbClr>
                        </a:solidFill>
                      </wps:spPr>
                      <wps:txbx>
                        <w:txbxContent>
                          <w:p>
                            <w:pPr>
                              <w:pStyle w:val="Normal"/>
                              <w:widowControl/>
                              <w:bidi w:val="0"/>
                              <w:spacing w:before="60" w:after="60"/>
                              <w:rPr/>
                            </w:pPr>
                            <w:r>
                              <w:rPr/>
                              <w:drawing>
                                <wp:inline distT="0" distB="0" distL="0" distR="0">
                                  <wp:extent cx="1500505" cy="14909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12" t="-12" r="-12" b="-12"/>
                                          <a:stretch>
                                            <a:fillRect/>
                                          </a:stretch>
                                        </pic:blipFill>
                                        <pic:spPr bwMode="auto">
                                          <a:xfrm>
                                            <a:off x="0" y="0"/>
                                            <a:ext cx="1500505" cy="1490980"/>
                                          </a:xfrm>
                                          <a:prstGeom prst="rect">
                                            <a:avLst/>
                                          </a:prstGeom>
                                          <a:noFill/>
                                        </pic:spPr>
                                      </pic:pic>
                                    </a:graphicData>
                                  </a:graphic>
                                </wp:inline>
                              </w:drawing>
                            </w:r>
                          </w:p>
                          <w:p>
                            <w:pPr>
                              <w:pStyle w:val="Normal"/>
                              <w:rPr/>
                            </w:pPr>
                            <w:r>
                              <w:rPr/>
                            </w:r>
                          </w:p>
                          <w:p>
                            <w:pPr>
                              <w:pStyle w:val="Normal"/>
                              <w:spacing w:before="0" w:after="0"/>
                              <w:rPr>
                                <w:rFonts w:ascii="Arial" w:hAnsi="Arial" w:cs="Arial"/>
                              </w:rPr>
                            </w:pPr>
                            <w:r>
                              <w:rPr>
                                <w:rFonts w:cs="Arial" w:ascii="Arial" w:hAnsi="Arial"/>
                                <w:b/>
                                <w:sz w:val="24"/>
                              </w:rPr>
                              <w:t>InterOffice Memo</w:t>
                            </w:r>
                          </w:p>
                        </w:txbxContent>
                      </wps:txbx>
                      <wps:bodyPr anchor="t" lIns="0" tIns="0" rIns="0" bIns="0">
                        <a:noAutofit/>
                      </wps:bodyPr>
                    </wps:wsp>
                  </a:graphicData>
                </a:graphic>
              </wp:anchor>
            </w:drawing>
          </mc:Choice>
          <mc:Fallback>
            <w:pict>
              <v:rect fillcolor="#FFFFFF" style="position:absolute;rotation:-0;width:300.8pt;height:154.9pt;mso-wrap-distance-left:9pt;mso-wrap-distance-right:9pt;mso-wrap-distance-top:0pt;mso-wrap-distance-bottom:0pt;margin-top:-50.95pt;mso-position-vertical-relative:text;margin-left:83.3pt;mso-position-horizontal-relative:page">
                <v:fill opacity="0f"/>
                <v:textbox inset="0in,0in,0in,0in">
                  <w:txbxContent>
                    <w:p>
                      <w:pPr>
                        <w:pStyle w:val="Normal"/>
                        <w:widowControl/>
                        <w:bidi w:val="0"/>
                        <w:spacing w:before="60" w:after="60"/>
                        <w:rPr/>
                      </w:pPr>
                      <w:r>
                        <w:rPr/>
                        <w:drawing>
                          <wp:inline distT="0" distB="0" distL="0" distR="0">
                            <wp:extent cx="1500505" cy="149098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12" t="-12" r="-12" b="-12"/>
                                    <a:stretch>
                                      <a:fillRect/>
                                    </a:stretch>
                                  </pic:blipFill>
                                  <pic:spPr bwMode="auto">
                                    <a:xfrm>
                                      <a:off x="0" y="0"/>
                                      <a:ext cx="1500505" cy="1490980"/>
                                    </a:xfrm>
                                    <a:prstGeom prst="rect">
                                      <a:avLst/>
                                    </a:prstGeom>
                                    <a:noFill/>
                                  </pic:spPr>
                                </pic:pic>
                              </a:graphicData>
                            </a:graphic>
                          </wp:inline>
                        </w:drawing>
                      </w:r>
                    </w:p>
                    <w:p>
                      <w:pPr>
                        <w:pStyle w:val="Normal"/>
                        <w:rPr/>
                      </w:pPr>
                      <w:r>
                        <w:rPr/>
                      </w:r>
                    </w:p>
                    <w:p>
                      <w:pPr>
                        <w:pStyle w:val="Normal"/>
                        <w:spacing w:before="0" w:after="0"/>
                        <w:rPr>
                          <w:rFonts w:ascii="Arial" w:hAnsi="Arial" w:cs="Arial"/>
                        </w:rPr>
                      </w:pPr>
                      <w:r>
                        <w:rPr>
                          <w:rFonts w:cs="Arial" w:ascii="Arial" w:hAnsi="Arial"/>
                          <w:b/>
                          <w:sz w:val="24"/>
                        </w:rPr>
                        <w:t>InterOffice Memo</w:t>
                      </w:r>
                    </w:p>
                  </w:txbxContent>
                </v:textbox>
                <w10:wrap type="square"/>
              </v:rect>
            </w:pict>
          </mc:Fallback>
        </mc:AlternateContent>
      </w:r>
    </w:p>
    <w:tbl>
      <w:tblPr>
        <w:tblW w:w="8748" w:type="dxa"/>
        <w:jc w:val="start"/>
        <w:tblInd w:w="0" w:type="dxa"/>
        <w:tblLayout w:type="fixed"/>
        <w:tblCellMar>
          <w:top w:w="0" w:type="dxa"/>
          <w:start w:w="108" w:type="dxa"/>
          <w:bottom w:w="0" w:type="dxa"/>
          <w:end w:w="108" w:type="dxa"/>
        </w:tblCellMar>
      </w:tblPr>
      <w:tblGrid>
        <w:gridCol w:w="1188"/>
        <w:gridCol w:w="7560"/>
      </w:tblGrid>
      <w:tr>
        <w:trPr/>
        <w:tc>
          <w:tcPr>
            <w:tcW w:w="1188" w:type="dxa"/>
            <w:tcBorders/>
          </w:tcPr>
          <w:p>
            <w:pPr>
              <w:pStyle w:val="Normal"/>
              <w:spacing w:before="60" w:after="60"/>
              <w:rPr>
                <w:rFonts w:ascii="Arial" w:hAnsi="Arial" w:cs="Arial"/>
              </w:rPr>
            </w:pPr>
            <w:r>
              <w:rPr>
                <w:rFonts w:cs="Arial" w:ascii="Arial" w:hAnsi="Arial"/>
                <w:b/>
              </w:rPr>
              <w:t>To:</w:t>
            </w:r>
          </w:p>
        </w:tc>
        <w:tc>
          <w:tcPr>
            <w:tcW w:w="7560" w:type="dxa"/>
            <w:tcBorders/>
          </w:tcPr>
          <w:p>
            <w:pPr>
              <w:pStyle w:val="To"/>
              <w:spacing w:before="60" w:after="60"/>
              <w:rPr>
                <w:rFonts w:ascii="Arial" w:hAnsi="Arial" w:cs="Arial"/>
              </w:rPr>
            </w:pPr>
            <w:bookmarkStart w:id="0" w:name="To"/>
            <w:bookmarkEnd w:id="0"/>
            <w:r>
              <w:rPr>
                <w:rFonts w:cs="Arial" w:ascii="Arial" w:hAnsi="Arial"/>
              </w:rPr>
              <w:t>Mark Schroeder</w:t>
            </w:r>
          </w:p>
        </w:tc>
      </w:tr>
      <w:tr>
        <w:trPr/>
        <w:tc>
          <w:tcPr>
            <w:tcW w:w="1188" w:type="dxa"/>
            <w:tcBorders/>
          </w:tcPr>
          <w:p>
            <w:pPr>
              <w:pStyle w:val="Normal"/>
              <w:spacing w:before="60" w:after="60"/>
              <w:rPr>
                <w:rFonts w:ascii="Arial" w:hAnsi="Arial" w:cs="Arial"/>
              </w:rPr>
            </w:pPr>
            <w:r>
              <w:rPr>
                <w:rFonts w:cs="Arial" w:ascii="Arial" w:hAnsi="Arial"/>
                <w:b/>
              </w:rPr>
              <w:t>From:</w:t>
            </w:r>
          </w:p>
        </w:tc>
        <w:tc>
          <w:tcPr>
            <w:tcW w:w="7560" w:type="dxa"/>
            <w:tcBorders/>
          </w:tcPr>
          <w:p>
            <w:pPr>
              <w:pStyle w:val="From"/>
              <w:spacing w:before="60" w:after="60"/>
              <w:rPr>
                <w:rFonts w:ascii="Arial" w:hAnsi="Arial" w:cs="Arial"/>
              </w:rPr>
            </w:pPr>
            <w:bookmarkStart w:id="1" w:name="From"/>
            <w:bookmarkEnd w:id="1"/>
            <w:r>
              <w:rPr>
                <w:rFonts w:cs="Arial" w:ascii="Arial" w:hAnsi="Arial"/>
              </w:rPr>
              <w:t>Mike Dahlke</w:t>
            </w:r>
          </w:p>
        </w:tc>
      </w:tr>
      <w:tr>
        <w:trPr/>
        <w:tc>
          <w:tcPr>
            <w:tcW w:w="1188" w:type="dxa"/>
            <w:tcBorders/>
          </w:tcPr>
          <w:p>
            <w:pPr>
              <w:pStyle w:val="Normal"/>
              <w:spacing w:before="60" w:after="60"/>
              <w:rPr>
                <w:rFonts w:ascii="Arial" w:hAnsi="Arial" w:cs="Arial"/>
              </w:rPr>
            </w:pPr>
            <w:r>
              <w:rPr>
                <w:rFonts w:cs="Arial" w:ascii="Arial" w:hAnsi="Arial"/>
                <w:b/>
              </w:rPr>
              <w:t>Date:</w:t>
            </w:r>
          </w:p>
        </w:tc>
        <w:tc>
          <w:tcPr>
            <w:tcW w:w="7560" w:type="dxa"/>
            <w:tcBorders/>
          </w:tcPr>
          <w:p>
            <w:pPr>
              <w:pStyle w:val="Date"/>
              <w:spacing w:before="60" w:after="60"/>
              <w:rPr>
                <w:rFonts w:ascii="Arial" w:hAnsi="Arial" w:cs="Arial"/>
              </w:rPr>
            </w:pPr>
            <w:r>
              <w:rPr>
                <w:rFonts w:cs="Arial" w:ascii="Arial" w:hAnsi="Arial"/>
              </w:rPr>
              <w:t>July 3, 2000</w:t>
            </w:r>
          </w:p>
        </w:tc>
      </w:tr>
      <w:tr>
        <w:trPr/>
        <w:tc>
          <w:tcPr>
            <w:tcW w:w="1188" w:type="dxa"/>
            <w:tcBorders>
              <w:bottom w:val="single" w:sz="18" w:space="0" w:color="000000"/>
            </w:tcBorders>
          </w:tcPr>
          <w:p>
            <w:pPr>
              <w:pStyle w:val="Normal"/>
              <w:spacing w:before="60" w:after="60"/>
              <w:rPr>
                <w:rFonts w:ascii="Arial" w:hAnsi="Arial" w:cs="Arial"/>
              </w:rPr>
            </w:pPr>
            <w:r>
              <w:rPr>
                <w:rFonts w:cs="Arial" w:ascii="Arial" w:hAnsi="Arial"/>
                <w:b/>
              </w:rPr>
              <w:t>Subject:</w:t>
            </w:r>
          </w:p>
        </w:tc>
        <w:tc>
          <w:tcPr>
            <w:tcW w:w="7560" w:type="dxa"/>
            <w:tcBorders>
              <w:bottom w:val="single" w:sz="18" w:space="0" w:color="000000"/>
            </w:tcBorders>
          </w:tcPr>
          <w:p>
            <w:pPr>
              <w:pStyle w:val="Subject"/>
              <w:spacing w:before="60" w:after="60"/>
              <w:rPr>
                <w:rFonts w:ascii="Arial" w:hAnsi="Arial" w:cs="Arial"/>
              </w:rPr>
            </w:pPr>
            <w:bookmarkStart w:id="2" w:name="tSubject"/>
            <w:bookmarkStart w:id="3" w:name="Subject"/>
            <w:bookmarkEnd w:id="2"/>
            <w:bookmarkEnd w:id="3"/>
            <w:r>
              <w:rPr>
                <w:rFonts w:cs="Arial" w:ascii="Arial" w:hAnsi="Arial"/>
              </w:rPr>
              <w:t>Project Summer – Korean City Gas Company Consents</w:t>
            </w:r>
          </w:p>
        </w:tc>
      </w:tr>
    </w:tbl>
    <w:p>
      <w:pPr>
        <w:pStyle w:val="Normal"/>
        <w:rPr>
          <w:rFonts w:ascii="Arial" w:hAnsi="Arial" w:cs="Arial"/>
        </w:rPr>
      </w:pPr>
      <w:r>
        <w:rPr>
          <w:rFonts w:cs="Arial" w:ascii="Arial" w:hAnsi="Arial"/>
        </w:rPr>
      </w:r>
      <w:bookmarkStart w:id="4" w:name="StartOfMemo"/>
      <w:bookmarkStart w:id="5" w:name="StartOfMemo"/>
      <w:bookmarkEnd w:id="5"/>
    </w:p>
    <w:p>
      <w:pPr>
        <w:pStyle w:val="Normal"/>
        <w:rPr/>
      </w:pPr>
      <w:r>
        <w:rPr>
          <w:rFonts w:cs="Arial" w:ascii="Arial" w:hAnsi="Arial"/>
        </w:rPr>
        <w:t xml:space="preserve">Based on the legal review that was done ahead of the formation of the SK-Enron joint venture, any outright transference of ownership of a Korean City Gas Company (CGC) would require the permission of the relevant local authority (Kim &amp; Chang, October 2, 1998).  This requirement is set forth in Chapter II, Article 3 of the </w:t>
      </w:r>
      <w:r>
        <w:rPr>
          <w:rFonts w:cs="Arial" w:ascii="Arial" w:hAnsi="Arial"/>
          <w:i/>
        </w:rPr>
        <w:t>City Gas Business Act</w:t>
      </w:r>
      <w:r>
        <w:rPr>
          <w:rFonts w:cs="Arial" w:ascii="Arial" w:hAnsi="Arial"/>
        </w:rPr>
        <w:t xml:space="preserve"> (also known as the </w:t>
      </w:r>
      <w:r>
        <w:rPr>
          <w:rFonts w:cs="Arial" w:ascii="Arial" w:hAnsi="Arial"/>
          <w:i/>
        </w:rPr>
        <w:t>Urban Gas Business Act</w:t>
      </w:r>
      <w:r>
        <w:rPr>
          <w:rFonts w:cs="Arial" w:ascii="Arial" w:hAnsi="Arial"/>
        </w:rPr>
        <w:t>), which was originally passed in 1983 and last amended in February of 1999.  If the company is located in a “special metropolitan area” such as Seoul or Pusan, permission must be obtained from the mayor of that area.  Otherwise, the agreement of the provincial (state) governor must be received.</w:t>
      </w:r>
    </w:p>
    <w:p>
      <w:pPr>
        <w:pStyle w:val="Normal"/>
        <w:rPr>
          <w:rFonts w:ascii="Arial" w:hAnsi="Arial" w:cs="Arial"/>
        </w:rPr>
      </w:pPr>
      <w:r>
        <w:rPr>
          <w:rFonts w:cs="Arial" w:ascii="Arial" w:hAnsi="Arial"/>
        </w:rPr>
        <w:t>SK-Enron was organized in part through the exchange of the share of 5 individual CGCs for share in “Newco”, which became SK-Enron.  As I recall, both the Korean Fair Trading Commission and the Korean Stock Exchange authority were notified (two of the companies have public shareholders) of the transfer.  However, no local permissions were sought.</w:t>
      </w:r>
    </w:p>
    <w:p>
      <w:pPr>
        <w:pStyle w:val="Normal"/>
        <w:rPr>
          <w:rFonts w:ascii="Arial" w:hAnsi="Arial" w:cs="Arial"/>
        </w:rPr>
      </w:pPr>
      <w:r>
        <w:rPr>
          <w:rFonts w:cs="Arial" w:ascii="Arial" w:hAnsi="Arial"/>
        </w:rPr>
        <w:t xml:space="preserve">At the time when the joint venture was formed, there had been no transference of CGC ownership either by stock acquisition or asset purchase, according to Kim &amp; Chang (Enron’s local law firm).  Subsequent to the K&amp;C report, Tractabel purchased the City Gas Division of Hanjin Construction.  This operation was located in the Seoul Metropolitan Area so the required consent must have been received; I don’t have any report on what difficulties, if any, Tractabel faced in obtaining the needed permission. </w:t>
      </w:r>
    </w:p>
    <w:p>
      <w:pPr>
        <w:pStyle w:val="Normal"/>
        <w:rPr>
          <w:rFonts w:ascii="Arial" w:hAnsi="Arial" w:cs="Arial"/>
        </w:rPr>
      </w:pPr>
      <w:r>
        <w:rPr>
          <w:rFonts w:cs="Arial" w:ascii="Arial" w:hAnsi="Arial"/>
        </w:rPr>
        <w:t>Merging one CGC with another owned by a separate party would likewise require that permission be obtained from the relevant authority.  Merging two or more companies owned by the same entity, e.g. SK-Enron seems as if it could be done without seeking approval.  Practically, however, local authorities need to be “consulted” at some point if such merger is going to proceed without reprisals such as accelerated rate reviews or other regulatory actions.  Inquires by two of SK-Enron’s CGCs about merging encountered strong concern on the part of their respective provincial governments.  Thus, it seems that considerable work would be required to successfully bring together the seven CGCs that the joint venture owns outright.  The two CGCs that are partially owned (Daehan and Pusan) would require the additional step of buying out the public shareholders.</w:t>
      </w:r>
    </w:p>
    <w:p>
      <w:pPr>
        <w:pStyle w:val="Normal"/>
        <w:rPr>
          <w:rFonts w:ascii="Arial" w:hAnsi="Arial" w:cs="Arial"/>
        </w:rPr>
      </w:pPr>
      <w:r>
        <w:rPr>
          <w:rFonts w:cs="Arial" w:ascii="Arial" w:hAnsi="Arial"/>
        </w:rPr>
        <w:t>As far as transferring the ownership of the holding company is concerned, Enron does have to get concurrence from SK Corp, as there is a 3-year “honeymoon” period in the shareholders’ agreement.  This provision is further tied to a “right of fist refusal” clause should SK Corp. be willing to agree to a transfer.</w:t>
      </w:r>
    </w:p>
    <w:p>
      <w:pPr>
        <w:pStyle w:val="Normal"/>
        <w:spacing w:before="60" w:after="60"/>
        <w:rPr>
          <w:rFonts w:ascii="Arial" w:hAnsi="Arial" w:cs="Arial"/>
        </w:rPr>
      </w:pPr>
      <w:r>
        <w:rPr>
          <w:rFonts w:cs="Arial" w:ascii="Arial" w:hAnsi="Arial"/>
        </w:rPr>
        <w:t xml:space="preserve">Please let me know if you any questions. </w:t>
      </w:r>
    </w:p>
    <w:sectPr>
      <w:headerReference w:type="default" r:id="rId4"/>
      <w:headerReference w:type="first" r:id="rId5"/>
      <w:type w:val="nextPage"/>
      <w:pgSz w:w="12240" w:h="15840"/>
      <w:pgMar w:left="1800" w:right="1800" w:gutter="0" w:header="720" w:top="1080" w:footer="0" w:bottom="108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7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60" w:after="6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numPr>
        <w:ilvl w:val="0"/>
        <w:numId w:val="1"/>
      </w:numPr>
      <w:spacing w:before="180" w:after="0"/>
      <w:outlineLvl w:val="0"/>
    </w:pPr>
    <w:rPr>
      <w:b/>
      <w:sz w:val="24"/>
    </w:rPr>
  </w:style>
  <w:style w:type="paragraph" w:styleId="Heading2">
    <w:name w:val="heading 2"/>
    <w:basedOn w:val="Heading1"/>
    <w:next w:val="Normal"/>
    <w:qFormat/>
    <w:pPr>
      <w:numPr>
        <w:ilvl w:val="1"/>
        <w:numId w:val="1"/>
      </w:numPr>
      <w:spacing w:before="120" w:after="0"/>
      <w:outlineLvl w:val="1"/>
    </w:pPr>
    <w:rPr>
      <w:sz w:val="22"/>
    </w:rPr>
  </w:style>
  <w:style w:type="paragraph" w:styleId="Heading3">
    <w:name w:val="heading 3"/>
    <w:basedOn w:val="Heading2"/>
    <w:next w:val="Normal"/>
    <w:qFormat/>
    <w:pPr>
      <w:numPr>
        <w:ilvl w:val="2"/>
        <w:numId w:val="1"/>
      </w:numPr>
      <w:outlineLvl w:val="2"/>
    </w:pPr>
    <w:rPr>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Heading1"/>
    <w:next w:val="BodyText"/>
    <w:qFormat/>
    <w:pPr>
      <w:numPr>
        <w:ilvl w:val="0"/>
        <w:numId w:val="0"/>
      </w:numPr>
      <w:spacing w:before="0" w:after="0"/>
      <w:outlineLvl w:val="9"/>
    </w:pPr>
    <w:rPr/>
  </w:style>
  <w:style w:type="paragraph" w:styleId="BodyText">
    <w:name w:val="Body Text"/>
    <w:basedOn w:val="Normal"/>
    <w:pPr>
      <w:spacing w:lineRule="auto" w:line="276" w:before="0" w:after="140"/>
    </w:pPr>
    <w:rPr/>
  </w:style>
  <w:style w:type="paragraph" w:styleId="List">
    <w:name w:val="List"/>
    <w:basedOn w:val="Normal"/>
    <w:pPr>
      <w:ind w:hanging="360" w:start="720" w:end="0"/>
    </w:pPr>
    <w:rPr/>
  </w:style>
  <w:style w:type="paragraph" w:styleId="Caption">
    <w:name w:val="caption"/>
    <w:basedOn w:val="Normal"/>
    <w:next w:val="Normal"/>
    <w:qFormat/>
    <w:pPr>
      <w:jc w:val="center"/>
    </w:pPr>
    <w:rPr>
      <w:rFonts w:ascii="Arial" w:hAnsi="Arial" w:cs="Arial"/>
      <w:b/>
      <w:sz w:val="24"/>
      <w:u w:val="single"/>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 w:val="right" w:pos="9000" w:leader="none"/>
      </w:tabs>
      <w:spacing w:before="0" w:after="0"/>
    </w:pPr>
    <w:rPr/>
  </w:style>
  <w:style w:type="paragraph" w:styleId="FootnoteText">
    <w:name w:val="footnote text"/>
    <w:basedOn w:val="Normal"/>
    <w:pPr>
      <w:ind w:hanging="360" w:start="360" w:end="0"/>
    </w:pPr>
    <w:rPr/>
  </w:style>
  <w:style w:type="paragraph" w:styleId="NormalIndent">
    <w:name w:val="Normal Indent"/>
    <w:basedOn w:val="Normal"/>
    <w:qFormat/>
    <w:pPr>
      <w:ind w:hanging="0" w:start="720" w:end="0"/>
    </w:pPr>
    <w:rPr/>
  </w:style>
  <w:style w:type="paragraph" w:styleId="SubList">
    <w:name w:val="SubList"/>
    <w:basedOn w:val="List"/>
    <w:qFormat/>
    <w:pPr>
      <w:ind w:hanging="360" w:start="1440" w:end="0"/>
    </w:pPr>
    <w:rPr/>
  </w:style>
  <w:style w:type="paragraph" w:styleId="Subject">
    <w:name w:val="Subject"/>
    <w:basedOn w:val="Normal"/>
    <w:qFormat/>
    <w:pPr/>
    <w:rPr/>
  </w:style>
  <w:style w:type="paragraph" w:styleId="Date">
    <w:name w:val="Date"/>
    <w:basedOn w:val="Normal"/>
    <w:qFormat/>
    <w:pPr/>
    <w:rPr/>
  </w:style>
  <w:style w:type="paragraph" w:styleId="To">
    <w:name w:val="To"/>
    <w:basedOn w:val="Normal"/>
    <w:qFormat/>
    <w:pPr/>
    <w:rPr/>
  </w:style>
  <w:style w:type="paragraph" w:styleId="From">
    <w:name w:val="From"/>
    <w:basedOn w:val="Normal"/>
    <w:qFormat/>
    <w:pPr/>
    <w:rPr/>
  </w:style>
  <w:style w:type="paragraph" w:styleId="Closed">
    <w:name w:val="Closed"/>
    <w:basedOn w:val="Normal"/>
    <w:qFormat/>
    <w:pPr>
      <w:spacing w:before="0" w:after="0"/>
    </w:pPr>
    <w:rPr/>
  </w:style>
  <w:style w:type="paragraph" w:styleId="CopyList">
    <w:name w:val="CopyList"/>
    <w:basedOn w:val="Normal"/>
    <w:qFormat/>
    <w:pPr>
      <w:tabs>
        <w:tab w:val="clear" w:pos="720"/>
        <w:tab w:val="left" w:pos="504" w:leader="none"/>
      </w:tabs>
      <w:spacing w:before="360" w:after="0"/>
      <w:ind w:hanging="504" w:start="504" w:end="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Eimemo</Template>
  <TotalTime>138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2000-07-03T10:49:00Z</dcterms:created>
  <dc:creator>Madeline Chan</dc:creator>
  <dc:description/>
  <dc:language>en-CA</dc:language>
  <cp:lastModifiedBy>EI</cp:lastModifiedBy>
  <cp:lastPrinted>1998-06-17T15:18:00Z</cp:lastPrinted>
  <dcterms:modified xsi:type="dcterms:W3CDTF">2000-07-04T03:21:00Z</dcterms:modified>
  <cp:revision>17</cp:revision>
  <dc:subject>EOG Organizational Opportunities</dc:subject>
  <dc:title> </dc:title>
</cp:coreProperties>
</file>