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Korea Government Regulatory Profile: Telecommunication and IT</w:t>
      </w:r>
    </w:p>
    <w:p>
      <w:pPr>
        <w:pStyle w:val="Normal"/>
        <w:rPr>
          <w:sz w:val="24"/>
        </w:rPr>
      </w:pPr>
      <w:r>
        <w:rPr>
          <w:sz w:val="24"/>
        </w:rPr>
      </w:r>
    </w:p>
    <w:p>
      <w:pPr>
        <w:pStyle w:val="Normal"/>
        <w:numPr>
          <w:ilvl w:val="0"/>
          <w:numId w:val="6"/>
        </w:numPr>
        <w:rPr/>
      </w:pPr>
      <w:r>
        <w:rPr>
          <w:b/>
        </w:rPr>
        <w:t>History of Deregulation</w:t>
      </w:r>
    </w:p>
    <w:p>
      <w:pPr>
        <w:pStyle w:val="Normal"/>
        <w:rPr/>
      </w:pPr>
      <w:r>
        <w:rPr/>
      </w:r>
    </w:p>
    <w:p>
      <w:pPr>
        <w:pStyle w:val="Normal"/>
        <w:numPr>
          <w:ilvl w:val="1"/>
          <w:numId w:val="6"/>
        </w:numPr>
        <w:tabs>
          <w:tab w:val="left" w:pos="720" w:leader="none"/>
        </w:tabs>
        <w:ind w:hanging="360" w:start="720" w:end="0"/>
        <w:rPr/>
      </w:pPr>
      <w:r>
        <w:rPr/>
        <w:t>1981 - Separation of telecommunications services from the Ministry of Information and communication (MIC) and the creation of the sate-owned Korean Telecommunications (KT). Today, government still owns 59% of the common shares of KT</w:t>
      </w:r>
    </w:p>
    <w:p>
      <w:pPr>
        <w:pStyle w:val="Normal"/>
        <w:ind w:start="360" w:end="0"/>
        <w:rPr/>
      </w:pPr>
      <w:r>
        <w:rPr/>
      </w:r>
    </w:p>
    <w:p>
      <w:pPr>
        <w:pStyle w:val="Normal"/>
        <w:numPr>
          <w:ilvl w:val="1"/>
          <w:numId w:val="6"/>
        </w:numPr>
        <w:tabs>
          <w:tab w:val="left" w:pos="720" w:leader="none"/>
        </w:tabs>
        <w:ind w:hanging="360" w:start="720" w:end="0"/>
        <w:rPr/>
      </w:pPr>
      <w:r>
        <w:rPr/>
        <w:t xml:space="preserve">1991 – Liberalization of international long distance services with the award of license to Dacom by the MIC. </w:t>
      </w:r>
    </w:p>
    <w:p>
      <w:pPr>
        <w:pStyle w:val="Normal"/>
        <w:ind w:start="360" w:end="0"/>
        <w:rPr/>
      </w:pPr>
      <w:r>
        <w:rPr/>
      </w:r>
    </w:p>
    <w:p>
      <w:pPr>
        <w:pStyle w:val="Normal"/>
        <w:numPr>
          <w:ilvl w:val="1"/>
          <w:numId w:val="6"/>
        </w:numPr>
        <w:tabs>
          <w:tab w:val="left" w:pos="720" w:leader="none"/>
        </w:tabs>
        <w:ind w:hanging="360" w:start="720" w:end="0"/>
        <w:rPr/>
      </w:pPr>
      <w:r>
        <w:rPr/>
        <w:t>1997, Korea participates in the negotiation for the WTO Basic telecommunications Agreement and makes specific commitments in regard to foreign ownership restrictions and opening of the market to resale and call-back services.  The Korean National Assembly approves revision to the Telecommunications Basic Law which lessens restrictions on foreign ownership and approves a third category of licenses for resale.</w:t>
      </w:r>
    </w:p>
    <w:p>
      <w:pPr>
        <w:pStyle w:val="Normal"/>
        <w:rPr/>
      </w:pPr>
      <w:r>
        <w:rPr/>
      </w:r>
    </w:p>
    <w:p>
      <w:pPr>
        <w:pStyle w:val="Normal"/>
        <w:numPr>
          <w:ilvl w:val="1"/>
          <w:numId w:val="6"/>
        </w:numPr>
        <w:tabs>
          <w:tab w:val="left" w:pos="720" w:leader="none"/>
        </w:tabs>
        <w:ind w:hanging="360" w:start="720" w:end="0"/>
        <w:rPr/>
      </w:pPr>
      <w:r>
        <w:rPr/>
        <w:t>The Ministry of Information and Communication (MIC) has complete regulatory authority over telecommunication services and operators in Korea.  It is also responsible for approving rates for services of dominant facilities-based carriers (KT and SK Telecom) and licensing operator of all services.</w:t>
      </w:r>
    </w:p>
    <w:p>
      <w:pPr>
        <w:pStyle w:val="Normal"/>
        <w:rPr/>
      </w:pPr>
      <w:r>
        <w:rPr/>
      </w:r>
    </w:p>
    <w:p>
      <w:pPr>
        <w:pStyle w:val="Normal"/>
        <w:numPr>
          <w:ilvl w:val="1"/>
          <w:numId w:val="6"/>
        </w:numPr>
        <w:tabs>
          <w:tab w:val="left" w:pos="720" w:leader="none"/>
        </w:tabs>
        <w:ind w:hanging="360" w:start="720" w:end="0"/>
        <w:rPr/>
      </w:pPr>
      <w:r>
        <w:rPr/>
        <w:t>Korea Communications Committee (KCC) which operates within the MIC, has the dual role of settling disputes (mainly interconnection related) between telecommunication operators as well as protecting the rights of users.  The Korea Fair Trade Commission (FTC) manages disputes on larger and more serious problems.</w:t>
      </w:r>
    </w:p>
    <w:p>
      <w:pPr>
        <w:pStyle w:val="Normal"/>
        <w:rPr/>
      </w:pPr>
      <w:r>
        <w:rPr/>
      </w:r>
    </w:p>
    <w:p>
      <w:pPr>
        <w:pStyle w:val="Normal"/>
        <w:numPr>
          <w:ilvl w:val="0"/>
          <w:numId w:val="6"/>
        </w:numPr>
        <w:rPr>
          <w:b/>
        </w:rPr>
      </w:pPr>
      <w:r>
        <w:rPr>
          <w:b/>
        </w:rPr>
        <w:t>Licensing Framework</w:t>
      </w:r>
    </w:p>
    <w:p>
      <w:pPr>
        <w:pStyle w:val="Normal"/>
        <w:rPr>
          <w:b/>
        </w:rPr>
      </w:pPr>
      <w:r>
        <w:rPr>
          <w:b/>
        </w:rPr>
      </w:r>
    </w:p>
    <w:p>
      <w:pPr>
        <w:pStyle w:val="Normal"/>
        <w:numPr>
          <w:ilvl w:val="1"/>
          <w:numId w:val="6"/>
        </w:numPr>
        <w:tabs>
          <w:tab w:val="left" w:pos="720" w:leader="none"/>
        </w:tabs>
        <w:ind w:hanging="360" w:start="720" w:end="0"/>
        <w:rPr/>
      </w:pPr>
      <w:r>
        <w:rPr/>
        <w:t>Three types of  Licenses</w:t>
      </w:r>
    </w:p>
    <w:p>
      <w:pPr>
        <w:pStyle w:val="Normal"/>
        <w:ind w:start="360" w:end="0"/>
        <w:rPr/>
      </w:pPr>
      <w:r>
        <w:rPr/>
      </w:r>
    </w:p>
    <w:p>
      <w:pPr>
        <w:pStyle w:val="Normal"/>
        <w:numPr>
          <w:ilvl w:val="1"/>
          <w:numId w:val="4"/>
        </w:numPr>
        <w:tabs>
          <w:tab w:val="clear" w:pos="720"/>
          <w:tab w:val="left" w:pos="-2880" w:leader="none"/>
          <w:tab w:val="left" w:pos="-2790" w:leader="none"/>
        </w:tabs>
        <w:rPr/>
      </w:pPr>
      <w:r>
        <w:rPr/>
        <w:t>Facilities-based telecommunications service</w:t>
      </w:r>
    </w:p>
    <w:p>
      <w:pPr>
        <w:pStyle w:val="Normal"/>
        <w:tabs>
          <w:tab w:val="clear" w:pos="720"/>
          <w:tab w:val="left" w:pos="-2880" w:leader="none"/>
          <w:tab w:val="left" w:pos="-2790" w:leader="none"/>
        </w:tabs>
        <w:ind w:start="720" w:end="0"/>
        <w:rPr/>
      </w:pPr>
      <w:r>
        <w:rPr/>
      </w:r>
    </w:p>
    <w:p>
      <w:pPr>
        <w:pStyle w:val="Normal"/>
        <w:numPr>
          <w:ilvl w:val="1"/>
          <w:numId w:val="5"/>
        </w:numPr>
        <w:tabs>
          <w:tab w:val="clear" w:pos="720"/>
          <w:tab w:val="left" w:pos="-2880" w:leader="none"/>
          <w:tab w:val="left" w:pos="1710" w:leader="none"/>
        </w:tabs>
        <w:ind w:hanging="720" w:start="2160" w:end="0"/>
        <w:rPr/>
      </w:pPr>
      <w:r>
        <w:rPr/>
        <w:t>Definition:  Operators who provide a telecommunication service by installing line facilities (including telephony, leased line services and wireless services).</w:t>
      </w:r>
    </w:p>
    <w:p>
      <w:pPr>
        <w:pStyle w:val="Normal"/>
        <w:tabs>
          <w:tab w:val="clear" w:pos="720"/>
          <w:tab w:val="left" w:pos="1710" w:leader="none"/>
        </w:tabs>
        <w:ind w:start="1440" w:end="0"/>
        <w:rPr/>
      </w:pPr>
      <w:r>
        <w:rPr/>
      </w:r>
    </w:p>
    <w:p>
      <w:pPr>
        <w:pStyle w:val="Normal"/>
        <w:numPr>
          <w:ilvl w:val="1"/>
          <w:numId w:val="5"/>
        </w:numPr>
        <w:tabs>
          <w:tab w:val="clear" w:pos="720"/>
          <w:tab w:val="left" w:pos="1710" w:leader="none"/>
        </w:tabs>
        <w:ind w:hanging="330" w:start="1770" w:end="0"/>
        <w:rPr/>
      </w:pPr>
      <w:r>
        <w:rPr/>
        <w:t xml:space="preserve"> </w:t>
      </w:r>
      <w:r>
        <w:rPr/>
        <w:t>Scope: License is required, foreign ownership requirement of 49%.</w:t>
      </w:r>
    </w:p>
    <w:p>
      <w:pPr>
        <w:pStyle w:val="Normal"/>
        <w:tabs>
          <w:tab w:val="clear" w:pos="720"/>
          <w:tab w:val="left" w:pos="1710" w:leader="none"/>
        </w:tabs>
        <w:rPr/>
      </w:pPr>
      <w:r>
        <w:rPr/>
      </w:r>
    </w:p>
    <w:p>
      <w:pPr>
        <w:pStyle w:val="Normal"/>
        <w:numPr>
          <w:ilvl w:val="1"/>
          <w:numId w:val="5"/>
        </w:numPr>
        <w:tabs>
          <w:tab w:val="clear" w:pos="720"/>
          <w:tab w:val="left" w:pos="1710" w:leader="none"/>
        </w:tabs>
        <w:ind w:hanging="330" w:start="1770" w:end="0"/>
        <w:rPr/>
      </w:pPr>
      <w:r>
        <w:rPr/>
        <w:t>Obligations:  Contribution of lump sum of money to the MIC when entering the market.</w:t>
      </w:r>
    </w:p>
    <w:p>
      <w:pPr>
        <w:pStyle w:val="Normal"/>
        <w:tabs>
          <w:tab w:val="clear" w:pos="720"/>
          <w:tab w:val="left" w:pos="1710" w:leader="none"/>
        </w:tabs>
        <w:rPr/>
      </w:pPr>
      <w:r>
        <w:rPr/>
      </w:r>
    </w:p>
    <w:p>
      <w:pPr>
        <w:pStyle w:val="Normal"/>
        <w:numPr>
          <w:ilvl w:val="1"/>
          <w:numId w:val="5"/>
        </w:numPr>
        <w:tabs>
          <w:tab w:val="clear" w:pos="720"/>
          <w:tab w:val="left" w:pos="1710" w:leader="none"/>
        </w:tabs>
        <w:ind w:hanging="330" w:start="1770" w:end="0"/>
        <w:rPr/>
      </w:pPr>
      <w:r>
        <w:rPr/>
        <w:t>Fee: 3% of annual sales.</w:t>
      </w:r>
    </w:p>
    <w:p>
      <w:pPr>
        <w:pStyle w:val="Normal"/>
        <w:tabs>
          <w:tab w:val="clear" w:pos="720"/>
          <w:tab w:val="left" w:pos="1080" w:leader="none"/>
        </w:tabs>
        <w:ind w:hanging="360" w:start="1080" w:end="0"/>
        <w:rPr/>
      </w:pPr>
      <w:r>
        <w:rPr/>
        <w:tab/>
      </w:r>
    </w:p>
    <w:p>
      <w:pPr>
        <w:pStyle w:val="Normal"/>
        <w:numPr>
          <w:ilvl w:val="1"/>
          <w:numId w:val="4"/>
        </w:numPr>
        <w:rPr/>
      </w:pPr>
      <w:r>
        <w:rPr/>
        <w:t>Value-added telecommunications service</w:t>
      </w:r>
    </w:p>
    <w:p>
      <w:pPr>
        <w:pStyle w:val="Normal"/>
        <w:ind w:start="720" w:end="0"/>
        <w:rPr/>
      </w:pPr>
      <w:r>
        <w:rPr/>
      </w:r>
    </w:p>
    <w:p>
      <w:pPr>
        <w:pStyle w:val="Normal"/>
        <w:numPr>
          <w:ilvl w:val="1"/>
          <w:numId w:val="2"/>
        </w:numPr>
        <w:rPr/>
      </w:pPr>
      <w:r>
        <w:rPr/>
        <w:t>Definition: Operators who provide service by leasing telecommunications line facilities from a licensed facilities-based telecommunications business operator.</w:t>
      </w:r>
    </w:p>
    <w:p>
      <w:pPr>
        <w:pStyle w:val="Normal"/>
        <w:ind w:start="1440" w:end="0"/>
        <w:rPr/>
      </w:pPr>
      <w:r>
        <w:rPr/>
      </w:r>
    </w:p>
    <w:p>
      <w:pPr>
        <w:pStyle w:val="Normal"/>
        <w:numPr>
          <w:ilvl w:val="1"/>
          <w:numId w:val="2"/>
        </w:numPr>
        <w:rPr/>
      </w:pPr>
      <w:r>
        <w:rPr/>
        <w:t>Scope:  Notification required ( similar to a license ), no foreign ownership requirement</w:t>
      </w:r>
    </w:p>
    <w:p>
      <w:pPr>
        <w:pStyle w:val="Normal"/>
        <w:ind w:start="1440" w:end="0"/>
        <w:rPr/>
      </w:pPr>
      <w:r>
        <w:rPr/>
      </w:r>
    </w:p>
    <w:p>
      <w:pPr>
        <w:pStyle w:val="Normal"/>
        <w:numPr>
          <w:ilvl w:val="1"/>
          <w:numId w:val="4"/>
        </w:numPr>
        <w:rPr/>
      </w:pPr>
      <w:r>
        <w:rPr/>
        <w:t>Three types of  Special (or Specific) Services Providers -SSP</w:t>
      </w:r>
    </w:p>
    <w:p>
      <w:pPr>
        <w:pStyle w:val="Normal"/>
        <w:ind w:start="720" w:end="0"/>
        <w:rPr/>
      </w:pPr>
      <w:r>
        <w:rPr/>
      </w:r>
    </w:p>
    <w:p>
      <w:pPr>
        <w:pStyle w:val="Normal"/>
        <w:numPr>
          <w:ilvl w:val="1"/>
          <w:numId w:val="7"/>
        </w:numPr>
        <w:rPr/>
      </w:pPr>
      <w:r>
        <w:rPr/>
        <w:t xml:space="preserve">Type I:  Resale with facilities – Resale of basic telecommunications services (international and domestic voice resale and Internet telephony, and international callback services) based on owned or leased facilities such as switching equipment.  </w:t>
      </w:r>
    </w:p>
    <w:p>
      <w:pPr>
        <w:pStyle w:val="Normal"/>
        <w:ind w:start="1440" w:end="0"/>
        <w:rPr/>
      </w:pPr>
      <w:r>
        <w:rPr/>
      </w:r>
    </w:p>
    <w:p>
      <w:pPr>
        <w:pStyle w:val="Normal"/>
        <w:numPr>
          <w:ilvl w:val="1"/>
          <w:numId w:val="7"/>
        </w:numPr>
        <w:rPr/>
      </w:pPr>
      <w:r>
        <w:rPr/>
        <w:t>Type II: Resale without facilities – All of the remaining resale services not included in the first category, including traffic aggregation and rebilling services</w:t>
      </w:r>
    </w:p>
    <w:p>
      <w:pPr>
        <w:pStyle w:val="Normal"/>
        <w:rPr/>
      </w:pPr>
      <w:r>
        <w:rPr/>
      </w:r>
    </w:p>
    <w:p>
      <w:pPr>
        <w:pStyle w:val="Normal"/>
        <w:numPr>
          <w:ilvl w:val="1"/>
          <w:numId w:val="7"/>
        </w:numPr>
        <w:rPr/>
      </w:pPr>
      <w:r>
        <w:rPr/>
        <w:t>Type III:  Premises Telecommunications Services – Specific to Korea</w:t>
      </w:r>
    </w:p>
    <w:p>
      <w:pPr>
        <w:pStyle w:val="Normal"/>
        <w:rPr/>
      </w:pPr>
      <w:r>
        <w:rPr/>
      </w:r>
    </w:p>
    <w:p>
      <w:pPr>
        <w:pStyle w:val="Normal"/>
        <w:numPr>
          <w:ilvl w:val="1"/>
          <w:numId w:val="7"/>
        </w:numPr>
        <w:rPr/>
      </w:pPr>
      <w:r>
        <w:rPr/>
        <w:t xml:space="preserve">Scope: Registration is required, foreign ownership requirement of 49%, capital requirement ranges from 3 billion Kwon ($3 Million ) for Type I to 300 million ($300,000)  Kwon for Type II and Type III.  An amount equivalent to 10% of paid-in capital must be deposited with the MIC. </w:t>
      </w:r>
    </w:p>
    <w:p>
      <w:pPr>
        <w:pStyle w:val="BodyTextIndent"/>
        <w:ind w:hanging="0" w:start="0" w:end="0"/>
        <w:rPr/>
      </w:pPr>
      <w:r>
        <w:rPr/>
      </w:r>
    </w:p>
    <w:p>
      <w:pPr>
        <w:pStyle w:val="Normal"/>
        <w:ind w:start="360" w:end="0"/>
        <w:rPr/>
      </w:pPr>
      <w:r>
        <w:rPr/>
      </w:r>
    </w:p>
    <w:p>
      <w:pPr>
        <w:pStyle w:val="Heading2"/>
        <w:numPr>
          <w:ilvl w:val="0"/>
          <w:numId w:val="6"/>
        </w:numPr>
        <w:rPr/>
      </w:pPr>
      <w:r>
        <w:rPr/>
        <w:t>Enron current regulatory posture</w:t>
      </w:r>
    </w:p>
    <w:p>
      <w:pPr>
        <w:pStyle w:val="Normal"/>
        <w:rPr/>
      </w:pPr>
      <w:r>
        <w:rPr/>
      </w:r>
    </w:p>
    <w:p>
      <w:pPr>
        <w:pStyle w:val="Normal"/>
        <w:numPr>
          <w:ilvl w:val="1"/>
          <w:numId w:val="6"/>
        </w:numPr>
        <w:tabs>
          <w:tab w:val="left" w:pos="720" w:leader="none"/>
        </w:tabs>
        <w:ind w:hanging="360" w:start="720" w:end="0"/>
        <w:rPr/>
      </w:pPr>
      <w:r>
        <w:rPr/>
        <w:t xml:space="preserve">Engaged the local law firm (Kim &amp; Chang) for legal work and advice.  </w:t>
      </w:r>
    </w:p>
    <w:p>
      <w:pPr>
        <w:pStyle w:val="Normal"/>
        <w:ind w:start="360" w:end="0"/>
        <w:rPr/>
      </w:pPr>
      <w:r>
        <w:rPr/>
      </w:r>
    </w:p>
    <w:p>
      <w:pPr>
        <w:pStyle w:val="Normal"/>
        <w:numPr>
          <w:ilvl w:val="1"/>
          <w:numId w:val="6"/>
        </w:numPr>
        <w:tabs>
          <w:tab w:val="left" w:pos="720" w:leader="none"/>
        </w:tabs>
        <w:ind w:hanging="360" w:start="720" w:end="0"/>
        <w:rPr/>
      </w:pPr>
      <w:r>
        <w:rPr/>
        <w:t xml:space="preserve">Exploration of what licenses to obtain, since only facilities based operators can resell internal private leased circuits wholesale under the current licensing regime.  SSPs are only allowed to sell circuits to end users, other SSPs and value added service providers. </w:t>
      </w:r>
    </w:p>
    <w:p>
      <w:pPr>
        <w:pStyle w:val="Normal"/>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2240" w:h="15840"/>
      <w:pgMar w:left="1440" w:right="1440" w:gutter="0" w:header="72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121"/>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480"/>
        </w:tabs>
        <w:ind w:start="6480" w:hanging="72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9720"/>
        </w:tabs>
        <w:ind w:start="9720" w:hanging="108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2960"/>
        </w:tabs>
        <w:ind w:start="12960" w:hanging="144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4">
    <w:lvl w:ilvl="0">
      <w:start w:val="2"/>
      <w:numFmt w:val="decimal"/>
      <w:lvlText w:val="%1"/>
      <w:lvlJc w:val="start"/>
      <w:pPr>
        <w:tabs>
          <w:tab w:val="num" w:pos="720"/>
        </w:tabs>
        <w:ind w:start="720" w:hanging="720"/>
      </w:pPr>
      <w:rPr/>
    </w:lvl>
    <w:lvl w:ilvl="1">
      <w:start w:val="1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5">
    <w:lvl w:ilvl="0">
      <w:start w:val="2"/>
      <w:numFmt w:val="decimal"/>
      <w:lvlText w:val="%1"/>
      <w:lvlJc w:val="start"/>
      <w:pPr>
        <w:tabs>
          <w:tab w:val="num" w:pos="690"/>
        </w:tabs>
        <w:ind w:start="690" w:hanging="690"/>
      </w:pPr>
      <w:rPr/>
    </w:lvl>
    <w:lvl w:ilvl="1">
      <w:start w:val="111"/>
      <w:numFmt w:val="decimal"/>
      <w:lvlText w:val="%1.%2"/>
      <w:lvlJc w:val="start"/>
      <w:pPr>
        <w:tabs>
          <w:tab w:val="num" w:pos="720"/>
        </w:tabs>
        <w:ind w:start="1770" w:hanging="69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3960"/>
        </w:tabs>
        <w:ind w:start="3960" w:hanging="720"/>
      </w:pPr>
      <w:rPr/>
    </w:lvl>
    <w:lvl w:ilvl="4">
      <w:start w:val="1"/>
      <w:numFmt w:val="decimal"/>
      <w:lvlText w:val="%1.%2.%3.%4.%5"/>
      <w:lvlJc w:val="start"/>
      <w:pPr>
        <w:tabs>
          <w:tab w:val="num" w:pos="5040"/>
        </w:tabs>
        <w:ind w:start="5040" w:hanging="720"/>
      </w:pPr>
      <w:rPr/>
    </w:lvl>
    <w:lvl w:ilvl="5">
      <w:start w:val="1"/>
      <w:numFmt w:val="decimal"/>
      <w:lvlText w:val="%1.%2.%3.%4.%5.%6"/>
      <w:lvlJc w:val="start"/>
      <w:pPr>
        <w:tabs>
          <w:tab w:val="num" w:pos="6480"/>
        </w:tabs>
        <w:ind w:start="6480" w:hanging="1080"/>
      </w:pPr>
      <w:rPr/>
    </w:lvl>
    <w:lvl w:ilvl="6">
      <w:start w:val="1"/>
      <w:numFmt w:val="decimal"/>
      <w:lvlText w:val="%1.%2.%3.%4.%5.%6.%7"/>
      <w:lvlJc w:val="start"/>
      <w:pPr>
        <w:tabs>
          <w:tab w:val="num" w:pos="7560"/>
        </w:tabs>
        <w:ind w:start="7560" w:hanging="1080"/>
      </w:pPr>
      <w:rPr/>
    </w:lvl>
    <w:lvl w:ilvl="7">
      <w:start w:val="1"/>
      <w:numFmt w:val="decimal"/>
      <w:lvlText w:val="%1.%2.%3.%4.%5.%6.%7.%8"/>
      <w:lvlJc w:val="start"/>
      <w:pPr>
        <w:tabs>
          <w:tab w:val="num" w:pos="9000"/>
        </w:tabs>
        <w:ind w:start="9000" w:hanging="1440"/>
      </w:pPr>
      <w:rPr/>
    </w:lvl>
    <w:lvl w:ilvl="8">
      <w:start w:val="1"/>
      <w:numFmt w:val="decimal"/>
      <w:lvlText w:val="%1.%2.%3.%4.%5.%6.%7.%8.%9"/>
      <w:lvlJc w:val="start"/>
      <w:pPr>
        <w:tabs>
          <w:tab w:val="num" w:pos="10080"/>
        </w:tabs>
        <w:ind w:start="10080" w:hanging="1440"/>
      </w:pPr>
      <w:rPr/>
    </w:lvl>
  </w:abstractNum>
  <w:abstractNum w:abstractNumId="6">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7">
    <w:lvl w:ilvl="0">
      <w:start w:val="2"/>
      <w:numFmt w:val="decimal"/>
      <w:lvlText w:val="%1"/>
      <w:lvlJc w:val="start"/>
      <w:pPr>
        <w:tabs>
          <w:tab w:val="num" w:pos="720"/>
        </w:tabs>
        <w:ind w:start="720" w:hanging="720"/>
      </w:pPr>
      <w:rPr/>
    </w:lvl>
    <w:lvl w:ilvl="1">
      <w:start w:val="131"/>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480"/>
        </w:tabs>
        <w:ind w:start="6480" w:hanging="72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9720"/>
        </w:tabs>
        <w:ind w:start="9720" w:hanging="108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2960"/>
        </w:tabs>
        <w:ind w:start="1296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0"/>
        <w:numId w:val="3"/>
      </w:numPr>
      <w:outlineLvl w:val="1"/>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260" w:start="1980" w:end="0"/>
    </w:pPr>
    <w:rPr/>
  </w:style>
  <w:style w:type="paragraph" w:styleId="BodyTextIndent2">
    <w:name w:val="Body Text Indent 2"/>
    <w:basedOn w:val="Normal"/>
    <w:qFormat/>
    <w:pPr>
      <w:tabs>
        <w:tab w:val="left" w:pos="720" w:leader="none"/>
      </w:tabs>
      <w:ind w:hanging="360" w:start="720" w:end="0"/>
    </w:pPr>
    <w:rPr/>
  </w:style>
  <w:style w:type="paragraph" w:styleId="BodyTextIndent3">
    <w:name w:val="Body Text Indent 3"/>
    <w:basedOn w:val="Normal"/>
    <w:qFormat/>
    <w:pPr>
      <w:keepLines/>
      <w:spacing w:lineRule="atLeast" w:line="240"/>
      <w:ind w:hanging="540" w:start="171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2001-01-05T00:18:00Z</dcterms:created>
  <dc:creator>xi_xi</dc:creator>
  <dc:description/>
  <dc:language>en-CA</dc:language>
  <cp:lastModifiedBy>xi_xi</cp:lastModifiedBy>
  <cp:lastPrinted>2001-01-08T14:22:00Z</cp:lastPrinted>
  <dcterms:modified xsi:type="dcterms:W3CDTF">2001-01-12T19:48:00Z</dcterms:modified>
  <cp:revision>8</cp:revision>
  <dc:subject/>
  <dc:title>Japanese Government Regulatory Profile: Telecommunication and IT</dc:title>
</cp:coreProperties>
</file>