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sz w:val="24"/>
        </w:rPr>
      </w:pPr>
      <w:r>
        <w:rPr>
          <w:sz w:val="24"/>
          <w:highlight w:val="lightGray"/>
        </w:rPr>
        <w:t>Economic Outlook</w:t>
      </w:r>
    </w:p>
    <w:p>
      <w:pPr>
        <w:pStyle w:val="Normal"/>
        <w:rPr>
          <w:sz w:val="24"/>
        </w:rPr>
      </w:pPr>
      <w:r>
        <w:rPr>
          <w:sz w:val="24"/>
        </w:rPr>
      </w:r>
    </w:p>
    <w:p>
      <w:pPr>
        <w:pStyle w:val="Heading6"/>
        <w:ind w:hanging="0" w:start="0"/>
        <w:rPr/>
      </w:pPr>
      <w:r>
        <w:rPr/>
        <w:t>Economic Summary</w:t>
      </w:r>
    </w:p>
    <w:p>
      <w:pPr>
        <w:pStyle w:val="Normal"/>
        <w:rPr>
          <w:b/>
        </w:rPr>
      </w:pPr>
      <w:r>
        <w:rPr>
          <w:b/>
        </w:rPr>
      </w:r>
    </w:p>
    <w:p>
      <w:pPr>
        <w:pStyle w:val="BodyText2"/>
        <w:rPr/>
      </w:pPr>
      <w:r>
        <w:rPr/>
        <w:t>Weakening external demand, particularly in the US and Japan, incomplete reform in the banking and corporate sectors will slow Korean economic activity to about 3.5 percent this year from a robust 9 percent growth in 2000.  Authorities are trying to counter the slowdown by accelerating public spending in the first half of this year and easing monetary policy.  The Bank of Korea lowered its overnight call rate 25 bps in February to 5 percent.  Inflation has picked up despite the weakening of economic activity, leaving the central banks in a difficult position, however the recent 50 bps cut by the Fed on March 20</w:t>
      </w:r>
      <w:r>
        <w:rPr>
          <w:vertAlign w:val="superscript"/>
        </w:rPr>
        <w:t>th</w:t>
      </w:r>
      <w:r>
        <w:rPr/>
        <w:t xml:space="preserve"> will give the Bank of Korea some breathing room.</w:t>
      </w:r>
    </w:p>
    <w:p>
      <w:pPr>
        <w:pStyle w:val="BodyText2"/>
        <w:rPr/>
      </w:pPr>
      <w:r>
        <w:rPr/>
      </w:r>
    </w:p>
    <w:p>
      <w:pPr>
        <w:pStyle w:val="BodyText2"/>
        <w:rPr>
          <w:b/>
          <w:u w:val="single"/>
        </w:rPr>
      </w:pPr>
      <w:r>
        <w:rPr>
          <w:b/>
          <w:u w:val="single"/>
        </w:rPr>
        <w:t>Export Growth Slowed Sharply</w:t>
      </w:r>
    </w:p>
    <w:p>
      <w:pPr>
        <w:pStyle w:val="BodyText2"/>
        <w:rPr>
          <w:b/>
          <w:u w:val="single"/>
        </w:rPr>
      </w:pPr>
      <w:r>
        <w:rPr>
          <w:b/>
          <w:u w:val="single"/>
        </w:rPr>
      </w:r>
    </w:p>
    <w:p>
      <w:pPr>
        <w:pStyle w:val="BodyText2"/>
        <w:rPr/>
      </w:pPr>
      <w:r>
        <w:rPr/>
        <w:t xml:space="preserve">Exports account for about 38 percent of GDP with a heavy concentration in cyclical industries, leaving Korea particularly vulnerable to the export market growth of its top two trading partners, the US and Japan accounting for 21 percent and 11 percent of total Korean exports, respectively.  The value of export rose 20 last year as a whole, however slowed to 2 percent year over year in December.  The global tech sector’s steep recession has also taken its tool on exports, where electronic exports account for 36 percent of total.  </w:t>
      </w:r>
      <w:r>
        <w:rPr>
          <w:b/>
        </w:rPr>
        <w:t>The risk for exports is clearly on the downside, putting further pressure on the won.</w:t>
      </w:r>
      <w:r>
        <w:rPr/>
        <w:t xml:space="preserve">  </w:t>
      </w:r>
      <w:r>
        <w:rPr>
          <w:b/>
        </w:rPr>
        <w:t>And finally, yen weakness, close to 5 percent in the last month, will continue to pressure on the won as Japanese exports gain competitiveness.</w:t>
      </w:r>
      <w:r>
        <w:rPr/>
        <w:t xml:space="preserve">  This sharp slowdown in export growth in the second half of last year has spread to the rest of the economy like wild fire.</w:t>
      </w:r>
    </w:p>
    <w:p>
      <w:pPr>
        <w:pStyle w:val="BodyText2"/>
        <w:rPr/>
      </w:pPr>
      <w:r>
        <w:rPr/>
      </w:r>
    </w:p>
    <w:p>
      <w:pPr>
        <w:pStyle w:val="BodyText2"/>
        <w:rPr/>
      </w:pPr>
      <w:r>
        <w:rPr/>
        <w:t>The Korean economy contracted for the first time in two and a half years, as weak external and domestic demand forced companies to cut production, payrolls and investment.  GDP declined 0.4 percent in the fourth quarter.  Jin Nyum, Finance and Economy Minister stated after the GDP release “Korea could well see economic growth of less than 4 percent, if the US economy goes through a hard landing...and Japan’s investment and consumer spending doesn’t stabilize.”  Consumption growth has fallen off substantially and consumer and business confidence has dropped precipitously.  The index of consumer sentiment in December fell to the lowest level since the government began publishing the statistic during the recession of 1998, during the height of the Asian Crisis.</w:t>
      </w:r>
    </w:p>
    <w:p>
      <w:pPr>
        <w:pStyle w:val="Normal"/>
        <w:rPr/>
      </w:pPr>
      <w:r>
        <w:rPr/>
      </w:r>
    </w:p>
    <w:p>
      <w:pPr>
        <w:pStyle w:val="BodyText2"/>
        <w:rPr>
          <w:b/>
          <w:u w:val="single"/>
        </w:rPr>
      </w:pPr>
      <w:r>
        <w:rPr>
          <w:b/>
          <w:u w:val="single"/>
        </w:rPr>
        <w:t>The Exchange Rate</w:t>
      </w:r>
    </w:p>
    <w:p>
      <w:pPr>
        <w:pStyle w:val="Normal"/>
        <w:rPr>
          <w:b/>
          <w:u w:val="single"/>
        </w:rPr>
      </w:pPr>
      <w:r>
        <w:rPr>
          <w:b/>
          <w:u w:val="single"/>
        </w:rPr>
      </w:r>
    </w:p>
    <w:p>
      <w:pPr>
        <w:pStyle w:val="Normal"/>
        <w:jc w:val="both"/>
        <w:rPr>
          <w:sz w:val="22"/>
        </w:rPr>
      </w:pPr>
      <w:r>
        <w:rPr>
          <w:sz w:val="22"/>
        </w:rPr>
        <w:t xml:space="preserve">The won was trading in a narrow range of 1100-1200 from mid-1999 to November 2000.  The foreign exchange rate policy seems to have changed with the economic downturn and the further reduction in large balance of payments surplus.  With the large increase in foreign exchange reserves, it seems that the central bank is less aggressive in curbing the downward pressure on the won as exports have slowed and the yen has appreciated.  Authorities have allowed the exchange rate to depreciate from 1150/$ in November to 1322/$ on March 22, as exports slowed and the yen depreciated, and global financial markets are unsteady.  Money is flowing into U.S. bonds as a safe haven as risk aversion is at its highest level since the LTCM and Russian crisis of 1998.  Because the Fed is much further along in easing interest rates than the BOJ or ECB, markets are expecting the US to come out of a global recession before others.  With Japan re-entering recession and trapped in a policy bind of not having maneuverability in either fiscal or monetary policy as markets were disappointed with yet another stimulus package.  In addition, the recent return of the zero interest rate policy and various governmental proposals to stimulate the stock market and aid ailing banks are also seen as insufficient measures to jump start the economy.  Unfortunately for Korea, the lack of policy maneuverability in Japan leaves only one policy lever left and that is to continue to allow the yen to weaken. </w:t>
      </w:r>
    </w:p>
    <w:p>
      <w:pPr>
        <w:pStyle w:val="Normal"/>
        <w:jc w:val="both"/>
        <w:rPr>
          <w:sz w:val="22"/>
        </w:rPr>
      </w:pPr>
      <w:r>
        <w:rPr>
          <w:sz w:val="22"/>
        </w:rPr>
      </w:r>
    </w:p>
    <w:p>
      <w:pPr>
        <w:pStyle w:val="BodyText2"/>
        <w:rPr>
          <w:b/>
          <w:u w:val="single"/>
        </w:rPr>
      </w:pPr>
      <w:r>
        <w:rPr>
          <w:b/>
          <w:u w:val="single"/>
        </w:rPr>
        <w:t>Corporate Sector Restructuring</w:t>
      </w:r>
    </w:p>
    <w:p>
      <w:pPr>
        <w:pStyle w:val="BodyText2"/>
        <w:rPr>
          <w:b/>
          <w:u w:val="single"/>
        </w:rPr>
      </w:pPr>
      <w:r>
        <w:rPr>
          <w:b/>
          <w:u w:val="single"/>
        </w:rPr>
      </w:r>
    </w:p>
    <w:p>
      <w:pPr>
        <w:pStyle w:val="BodyText2"/>
        <w:rPr/>
      </w:pPr>
      <w:r>
        <w:rPr/>
        <w:t xml:space="preserve">Korea’s economic slump comes at a time when the government is still trying to write –off $40 billion in non-performing loans and return illiquid companies and banks to back to health.  Renewed turmoil in financial markets both domestic and external prompted the government to extend the plans to restructure the highly indebted corporate sector and increase its involvement in guaranteeing maturing corporate obligations. The policy shift towards the government providing support stems from the threat of another financial crisis due to large corporate financing needs combined with bank’s reluctance to provide new funds or roll over existing obligations. The Korea Development Bank Quick Underwriting program was set up in January to cover W25 trillion of the W65 trillion corporate bond repayments due in 2001.  The Korea Development Bank (KDB) plans to purchase W20 trillion worth of maturing obligations after the companies can make payments of 20 percent due.  </w:t>
      </w:r>
    </w:p>
    <w:p>
      <w:pPr>
        <w:pStyle w:val="BodyText2"/>
        <w:rPr/>
      </w:pPr>
      <w:r>
        <w:rPr/>
      </w:r>
    </w:p>
    <w:p>
      <w:pPr>
        <w:pStyle w:val="BodyText2"/>
        <w:rPr>
          <w:b/>
        </w:rPr>
      </w:pPr>
      <w:r>
        <w:rPr>
          <w:b/>
        </w:rPr>
        <w:t>Banking Sector Developments</w:t>
      </w:r>
    </w:p>
    <w:p>
      <w:pPr>
        <w:pStyle w:val="BodyText2"/>
        <w:rPr>
          <w:b/>
        </w:rPr>
      </w:pPr>
      <w:r>
        <w:rPr>
          <w:b/>
        </w:rPr>
      </w:r>
    </w:p>
    <w:p>
      <w:pPr>
        <w:pStyle w:val="BodyText2"/>
        <w:rPr/>
      </w:pPr>
      <w:r>
        <w:rPr/>
      </w:r>
    </w:p>
    <w:p>
      <w:pPr>
        <w:pStyle w:val="BodyText2"/>
        <w:rPr/>
      </w:pPr>
      <w:r>
        <w:rPr/>
        <w:t>Daewoo Motors was declared bankrupt on November 8th by its creditor banks, after owing more than $10bn.  On November 10</w:t>
      </w:r>
      <w:r>
        <w:rPr>
          <w:vertAlign w:val="superscript"/>
        </w:rPr>
        <w:t>th</w:t>
      </w:r>
      <w:r>
        <w:rPr/>
        <w:t xml:space="preserve"> the company applied to court for receivership and said it would proceed with an extensive restructuring.  Korean banks adopted a tougher line against Hyundai Engineering and Construction, which is also expected to fail by the end of the year.  Last week (11/06 - 11/10) the government announced a list of 28 companies deemed unviable by their assessment and the assessment of creditor banks. The results of the latest corporate restructuring sent the Seoul stock market soaring to new highs, rising 1.5 percent last week. </w:t>
      </w:r>
    </w:p>
    <w:p>
      <w:pPr>
        <w:pStyle w:val="BodyText2"/>
        <w:rPr/>
      </w:pPr>
      <w:r>
        <w:rPr/>
      </w:r>
    </w:p>
    <w:p>
      <w:pPr>
        <w:pStyle w:val="Normal"/>
        <w:numPr>
          <w:ilvl w:val="0"/>
          <w:numId w:val="2"/>
        </w:numPr>
        <w:jc w:val="both"/>
        <w:rPr>
          <w:sz w:val="22"/>
        </w:rPr>
      </w:pPr>
      <w:r>
        <w:rPr>
          <w:sz w:val="22"/>
          <w:u w:val="single"/>
        </w:rPr>
        <w:t>KOSPI Decline:</w:t>
      </w:r>
      <w:r>
        <w:rPr>
          <w:sz w:val="22"/>
        </w:rPr>
        <w:t xml:space="preserve"> The KOSPI (Korea Stock Price Index) lost nearly 50 percent of its value between December 1999 and early November 2000.</w:t>
      </w:r>
    </w:p>
    <w:p>
      <w:pPr>
        <w:pStyle w:val="Normal"/>
        <w:numPr>
          <w:ilvl w:val="0"/>
          <w:numId w:val="2"/>
        </w:numPr>
        <w:jc w:val="both"/>
        <w:rPr>
          <w:sz w:val="22"/>
        </w:rPr>
      </w:pPr>
      <w:r>
        <w:rPr>
          <w:sz w:val="22"/>
          <w:u w:val="single"/>
        </w:rPr>
        <w:t xml:space="preserve">Fiscal Policy </w:t>
      </w:r>
      <w:r>
        <w:rPr>
          <w:sz w:val="22"/>
        </w:rPr>
        <w:t xml:space="preserve">– Strong revenue growth driven by economic recovery has enabled the Korean government to state that it expects to balance the budget by 2003, three years earlier than originally planned.  </w:t>
      </w:r>
    </w:p>
    <w:p>
      <w:pPr>
        <w:pStyle w:val="Normal"/>
        <w:jc w:val="both"/>
        <w:rPr>
          <w:sz w:val="22"/>
        </w:rPr>
      </w:pPr>
      <w:r>
        <w:rPr>
          <w:sz w:val="22"/>
        </w:rPr>
      </w:r>
    </w:p>
    <w:p>
      <w:pPr>
        <w:pStyle w:val="Heading3"/>
        <w:ind w:hanging="0" w:start="0"/>
        <w:jc w:val="both"/>
        <w:rPr>
          <w:sz w:val="22"/>
        </w:rPr>
      </w:pPr>
      <w:r>
        <w:rPr>
          <w:sz w:val="22"/>
        </w:rPr>
        <w:t>IMF Program Update</w:t>
      </w:r>
    </w:p>
    <w:p>
      <w:pPr>
        <w:pStyle w:val="Normal"/>
        <w:jc w:val="both"/>
        <w:rPr>
          <w:sz w:val="22"/>
        </w:rPr>
      </w:pPr>
      <w:r>
        <w:rPr>
          <w:sz w:val="22"/>
        </w:rPr>
      </w:r>
    </w:p>
    <w:p>
      <w:pPr>
        <w:pStyle w:val="BodyText"/>
        <w:jc w:val="both"/>
        <w:rPr/>
      </w:pPr>
      <w:r>
        <w:rPr/>
        <w:t>The IMF completed its final review of the Korea Program recently and issued a brief on August 23, 2000.  Of the US$21 billion, three-year stand-by credit facility, Korea only withdrew US$19.5 and has repaid about US$13.5. The stand-by expires on December 3, 2000 and no further Executive Board reviews are scheduled.  The IMF also provided a strong outlook for the economy, raising its growth estimates for 2000 from 7.0 percent to 8.5 percent.  The IMF noted that foreign exchange reserves have increased to $90 billion (from $61.9 billion in 2Q1999) and that intervention in the foreign exchange market should be limited to smoothing operations. It also said interest rate increases would also depend critically on the degree of fiscal consolidation and exchange rate developments.</w:t>
      </w:r>
    </w:p>
    <w:p>
      <w:pPr>
        <w:pStyle w:val="Normal"/>
        <w:jc w:val="both"/>
        <w:rPr>
          <w:sz w:val="22"/>
        </w:rPr>
      </w:pPr>
      <w:r>
        <w:rPr>
          <w:sz w:val="22"/>
        </w:rPr>
      </w:r>
    </w:p>
    <w:p>
      <w:pPr>
        <w:pStyle w:val="Header"/>
        <w:tabs>
          <w:tab w:val="clear" w:pos="4320"/>
          <w:tab w:val="clear" w:pos="8640"/>
        </w:tabs>
        <w:jc w:val="both"/>
        <w:rPr>
          <w:sz w:val="22"/>
        </w:rPr>
      </w:pPr>
      <w:r>
        <w:rPr>
          <w:b/>
          <w:i/>
          <w:sz w:val="22"/>
          <w:u w:val="single"/>
        </w:rPr>
        <w:t>Investment Trust Companies (ITCs)</w:t>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t xml:space="preserve">Starting July 1 2000 as part of the ITC reform effort, ITCs are required to mark to market all new investments they make.  This rule applies to all funds regardless of the date they were established.  </w:t>
      </w:r>
    </w:p>
    <w:p>
      <w:pPr>
        <w:pStyle w:val="Header"/>
        <w:tabs>
          <w:tab w:val="clear" w:pos="4320"/>
          <w:tab w:val="clear" w:pos="8640"/>
        </w:tabs>
        <w:jc w:val="both"/>
        <w:rPr>
          <w:sz w:val="22"/>
        </w:rPr>
      </w:pPr>
      <w:r>
        <w:rPr>
          <w:sz w:val="22"/>
        </w:rPr>
      </w:r>
    </w:p>
    <w:p>
      <w:pPr>
        <w:pStyle w:val="Header"/>
        <w:tabs>
          <w:tab w:val="clear" w:pos="4320"/>
          <w:tab w:val="clear" w:pos="8640"/>
        </w:tabs>
        <w:jc w:val="both"/>
        <w:rPr>
          <w:b/>
          <w:i/>
          <w:i/>
          <w:sz w:val="22"/>
          <w:u w:val="single"/>
        </w:rPr>
      </w:pPr>
      <w:r>
        <w:rPr>
          <w:b/>
          <w:i/>
          <w:sz w:val="22"/>
          <w:u w:val="single"/>
        </w:rPr>
        <w:t>Mutual Fund Measures Unveiled</w:t>
      </w:r>
    </w:p>
    <w:p>
      <w:pPr>
        <w:pStyle w:val="Header"/>
        <w:tabs>
          <w:tab w:val="clear" w:pos="4320"/>
          <w:tab w:val="clear" w:pos="8640"/>
        </w:tabs>
        <w:jc w:val="both"/>
        <w:rPr>
          <w:b/>
          <w:i/>
          <w:i/>
          <w:sz w:val="22"/>
          <w:u w:val="single"/>
        </w:rPr>
      </w:pPr>
      <w:r>
        <w:rPr>
          <w:b/>
          <w:i/>
          <w:sz w:val="22"/>
          <w:u w:val="single"/>
        </w:rPr>
      </w:r>
    </w:p>
    <w:p>
      <w:pPr>
        <w:pStyle w:val="Header"/>
        <w:tabs>
          <w:tab w:val="clear" w:pos="4320"/>
          <w:tab w:val="clear" w:pos="8640"/>
        </w:tabs>
        <w:jc w:val="both"/>
        <w:rPr>
          <w:sz w:val="22"/>
        </w:rPr>
      </w:pPr>
      <w:r>
        <w:rPr>
          <w:sz w:val="22"/>
        </w:rPr>
        <w:t>The government has lifted restrictions on investment in mutual funds by financial institutions.  This was done as an effort to increase the role of institutional investors and support falling equity prices.</w:t>
      </w:r>
    </w:p>
    <w:p>
      <w:pPr>
        <w:pStyle w:val="Normal"/>
        <w:jc w:val="both"/>
        <w:rPr>
          <w:sz w:val="22"/>
        </w:rPr>
      </w:pPr>
      <w:r>
        <w:rPr>
          <w:sz w:val="22"/>
        </w:rPr>
      </w:r>
    </w:p>
    <w:p>
      <w:pPr>
        <w:pStyle w:val="Normal"/>
        <w:jc w:val="both"/>
        <w:rPr>
          <w:b/>
          <w:sz w:val="22"/>
          <w:u w:val="single"/>
        </w:rPr>
      </w:pPr>
      <w:r>
        <w:rPr>
          <w:b/>
          <w:sz w:val="22"/>
          <w:u w:val="single"/>
        </w:rPr>
      </w:r>
    </w:p>
    <w:p>
      <w:pPr>
        <w:pStyle w:val="Heading3"/>
        <w:ind w:hanging="0" w:start="0"/>
        <w:jc w:val="both"/>
        <w:rPr>
          <w:b w:val="false"/>
          <w:sz w:val="22"/>
          <w:u w:val="single"/>
        </w:rPr>
      </w:pPr>
      <w:r>
        <w:rPr>
          <w:b w:val="false"/>
          <w:sz w:val="22"/>
          <w:u w:val="single"/>
        </w:rPr>
      </w:r>
    </w:p>
    <w:p>
      <w:pPr>
        <w:pStyle w:val="Heading3"/>
        <w:pBdr>
          <w:bottom w:val="single" w:sz="12" w:space="1" w:color="000000"/>
        </w:pBdr>
        <w:spacing w:lineRule="exact" w:line="220"/>
        <w:ind w:hanging="0" w:start="0"/>
        <w:jc w:val="both"/>
        <w:rPr>
          <w:i w:val="false"/>
          <w:i w:val="false"/>
          <w:sz w:val="22"/>
          <w:u w:val="none"/>
        </w:rPr>
      </w:pPr>
      <w:r>
        <w:rPr>
          <w:i w:val="false"/>
          <w:sz w:val="22"/>
          <w:u w:val="none"/>
        </w:rPr>
        <w:t xml:space="preserve">Economic Risks </w:t>
      </w:r>
    </w:p>
    <w:p>
      <w:pPr>
        <w:pStyle w:val="Normal"/>
        <w:spacing w:lineRule="exact" w:line="220"/>
        <w:jc w:val="both"/>
        <w:rPr>
          <w:i/>
          <w:i/>
          <w:sz w:val="22"/>
          <w:u w:val="none"/>
        </w:rPr>
      </w:pPr>
      <w:r>
        <w:rPr>
          <w:i/>
          <w:sz w:val="22"/>
          <w:u w:val="none"/>
        </w:rPr>
      </w:r>
    </w:p>
    <w:p>
      <w:pPr>
        <w:pStyle w:val="Normal"/>
        <w:numPr>
          <w:ilvl w:val="0"/>
          <w:numId w:val="3"/>
        </w:numPr>
        <w:jc w:val="both"/>
        <w:rPr>
          <w:sz w:val="22"/>
        </w:rPr>
      </w:pPr>
      <w:r>
        <w:rPr>
          <w:sz w:val="22"/>
        </w:rPr>
        <w:t>Weak corporate restructuring efforts and slow government sales of failed chaebol assets convince investors to shy away from investing in Korea.</w:t>
      </w:r>
    </w:p>
    <w:p>
      <w:pPr>
        <w:pStyle w:val="Normal"/>
        <w:numPr>
          <w:ilvl w:val="0"/>
          <w:numId w:val="3"/>
        </w:numPr>
        <w:jc w:val="both"/>
        <w:rPr>
          <w:sz w:val="22"/>
        </w:rPr>
      </w:pPr>
      <w:r>
        <w:rPr>
          <w:sz w:val="22"/>
        </w:rPr>
        <w:t xml:space="preserve">The government’s final cost of the financial sector program, estimated to be $108 billion (W120 trillion), to restructure corporate and bank debt and to stabilize non-performing loans (NPLs), which were 8.7 percent of total loans in 1999, is much larger than expected and threatens the Korean government’s fiscal stance. </w:t>
      </w:r>
    </w:p>
    <w:p>
      <w:pPr>
        <w:pStyle w:val="Normal"/>
        <w:numPr>
          <w:ilvl w:val="0"/>
          <w:numId w:val="3"/>
        </w:numPr>
        <w:jc w:val="both"/>
        <w:rPr>
          <w:sz w:val="22"/>
        </w:rPr>
      </w:pPr>
      <w:r>
        <w:rPr>
          <w:sz w:val="22"/>
        </w:rPr>
        <w:t>Sustained high oil prices continue to put upward pressure on inflation.</w:t>
      </w:r>
    </w:p>
    <w:p>
      <w:pPr>
        <w:pStyle w:val="Normal"/>
        <w:numPr>
          <w:ilvl w:val="0"/>
          <w:numId w:val="3"/>
        </w:numPr>
        <w:jc w:val="both"/>
        <w:rPr>
          <w:sz w:val="22"/>
        </w:rPr>
      </w:pPr>
      <w:r>
        <w:rPr>
          <w:sz w:val="22"/>
        </w:rPr>
        <w:t>Regional political and/or economic instability spills over into softer investor sentiment with respect to the won.</w:t>
      </w:r>
    </w:p>
    <w:sectPr>
      <w:headerReference w:type="default" r:id="rId2"/>
      <w:footerReference w:type="default" r:id="rId3"/>
      <w:type w:val="nextPage"/>
      <w:pgSz w:w="12240" w:h="15840"/>
      <w:pgMar w:left="1800" w:right="1800" w:gutter="0" w:header="720" w:top="1440" w:footer="720" w:bottom="1440"/>
      <w:pgNumType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object w:dxaOrig="1019" w:dyaOrig="87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385.2pt;margin-top:-28.8pt;width:65.4pt;height:50.7pt;mso-wrap-distance-left:9.05pt;mso-wrap-distance-right:9.05pt;mso-position-horizontal-relative:text;mso-position-vertical-relative:text" filled="f" o:ole="">
          <v:imagedata r:id="rId2" o:title=""/>
          <w10:wrap type="topAndBottom"/>
        </v:shape>
        <o:OLEObject Type="Embed" ProgID="" ShapeID="ole_rId1" DrawAspect="Content" ObjectID="_1578109849" r:id="rId1"/>
      </w:object>
      <w:object w:dxaOrig="810" w:dyaOrig="540">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3.6pt;margin-top:-14.4pt;width:40.5pt;height:27pt;mso-wrap-distance-left:9.05pt;mso-wrap-distance-right:9.05pt;mso-position-horizontal-relative:text;mso-position-vertical-relative:text" filled="f" o:ole="">
          <v:imagedata r:id="rId4" o:title=""/>
          <w10:wrap type="topAndBottom"/>
        </v:shape>
        <o:OLEObject Type="Embed" ProgID="" ShapeID="ole_rId3" DrawAspect="Content" ObjectID="_791225423" r:id="rId3"/>
      </w:object>
    </w:r>
    <w:r>
      <w:rPr/>
      <w:tab/>
      <w:tab/>
    </w:r>
  </w:p>
  <w:p>
    <w:pPr>
      <w:pStyle w:val="Header"/>
      <w:rPr/>
    </w:pPr>
    <w:r>
      <w:rPr>
        <w:b/>
        <w:u w:val="single"/>
      </w:rPr>
      <w:t xml:space="preserve">Economic Brief: South Korea, 03/22/01       </w:t>
      <w:tab/>
      <w:t>Prepared by the ENA Research Group</w:t>
    </w:r>
    <w:r>
      <w:rPr>
        <w:b/>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outlineLvl w:val="2"/>
    </w:pPr>
    <w:rPr>
      <w:b/>
      <w:i/>
      <w:u w:val="single"/>
    </w:rPr>
  </w:style>
  <w:style w:type="paragraph" w:styleId="Heading4">
    <w:name w:val="heading 4"/>
    <w:basedOn w:val="Normal"/>
    <w:next w:val="Normal"/>
    <w:qFormat/>
    <w:pPr>
      <w:keepNext w:val="true"/>
      <w:numPr>
        <w:ilvl w:val="3"/>
        <w:numId w:val="1"/>
      </w:numPr>
      <w:outlineLvl w:val="3"/>
    </w:pPr>
    <w:rPr>
      <w:i/>
    </w:rPr>
  </w:style>
  <w:style w:type="paragraph" w:styleId="Heading5">
    <w:name w:val="heading 5"/>
    <w:basedOn w:val="Normal"/>
    <w:next w:val="Normal"/>
    <w:qFormat/>
    <w:pPr>
      <w:keepNext w:val="true"/>
      <w:numPr>
        <w:ilvl w:val="4"/>
        <w:numId w:val="1"/>
      </w:numPr>
      <w:outlineLvl w:val="4"/>
    </w:pPr>
    <w:rPr>
      <w:b/>
      <w:sz w:val="22"/>
    </w:rPr>
  </w:style>
  <w:style w:type="paragraph" w:styleId="Heading6">
    <w:name w:val="heading 6"/>
    <w:basedOn w:val="Normal"/>
    <w:next w:val="Normal"/>
    <w:qFormat/>
    <w:pPr>
      <w:keepNext w:val="true"/>
      <w:numPr>
        <w:ilvl w:val="5"/>
        <w:numId w:val="1"/>
      </w:numPr>
      <w:outlineLvl w:val="5"/>
    </w:pPr>
    <w:rPr>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Relationship Id="rId3" Type="http://schemas.openxmlformats.org/officeDocument/2006/relationships/oleObject" Target="embeddings/oleObject2.bin"/><Relationship Id="rId4"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2001-03-22T21:15:00Z</dcterms:created>
  <dc:creator>gkoepke</dc:creator>
  <dc:description/>
  <dc:language>en-CA</dc:language>
  <cp:lastModifiedBy>gkoepke</cp:lastModifiedBy>
  <cp:lastPrinted>2000-11-13T14:25:00Z</cp:lastPrinted>
  <dcterms:modified xsi:type="dcterms:W3CDTF">2001-03-23T21:04:00Z</dcterms:modified>
  <cp:revision>3</cp:revision>
  <dc:subject/>
  <dc:title>Pakistan Foreign Exchange and Inflation Forecasts</dc:title>
</cp:coreProperties>
</file>