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sz w:val="24"/>
        </w:rPr>
      </w:pPr>
      <w:r>
        <w:rPr>
          <w:sz w:val="24"/>
        </w:rPr>
        <w:t>BEFORE THE FEDERAL ENERGY REGULATORY COMMISSION</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Heading1"/>
        <w:ind w:hanging="0" w:start="0"/>
        <w:rPr/>
      </w:pPr>
      <w:r>
        <w:rPr/>
        <w:t>Koch Gateway Pipeline Company</w:t>
        <w:tab/>
        <w:tab/>
        <w:t>)</w:t>
        <w:tab/>
        <w:tab/>
        <w:t>Docket No. RP00-340-000</w:t>
      </w:r>
    </w:p>
    <w:p>
      <w:pPr>
        <w:pStyle w:val="Normal"/>
        <w:jc w:val="both"/>
        <w:rPr>
          <w:sz w:val="24"/>
        </w:rPr>
      </w:pPr>
      <w:r>
        <w:rPr>
          <w:sz w:val="24"/>
        </w:rPr>
      </w:r>
    </w:p>
    <w:p>
      <w:pPr>
        <w:pStyle w:val="Normal"/>
        <w:jc w:val="both"/>
        <w:rPr>
          <w:sz w:val="24"/>
        </w:rPr>
      </w:pPr>
      <w:r>
        <w:rPr>
          <w:sz w:val="24"/>
        </w:rPr>
      </w:r>
    </w:p>
    <w:p>
      <w:pPr>
        <w:pStyle w:val="Heading2"/>
        <w:ind w:hanging="0" w:start="0"/>
        <w:rPr/>
      </w:pPr>
      <w:r>
        <w:rPr/>
        <w:t xml:space="preserve">MOTION FOR LEAVE TO INTERVENE </w:t>
      </w:r>
    </w:p>
    <w:p>
      <w:pPr>
        <w:pStyle w:val="Heading2"/>
        <w:ind w:hanging="0" w:start="0"/>
        <w:rPr/>
      </w:pPr>
      <w:r>
        <w:rPr/>
        <w:t xml:space="preserve">AND </w:t>
      </w:r>
      <w:r>
        <w:rPr>
          <w:caps/>
        </w:rPr>
        <w:t xml:space="preserve">Comments of Enron North America </w:t>
      </w:r>
    </w:p>
    <w:p>
      <w:pPr>
        <w:pStyle w:val="Heading2"/>
        <w:ind w:hanging="0" w:start="0"/>
        <w:rPr>
          <w:caps/>
        </w:rPr>
      </w:pPr>
      <w:r>
        <w:rPr>
          <w:caps/>
        </w:rPr>
        <w:t>On Compliance Filing</w:t>
      </w:r>
    </w:p>
    <w:p>
      <w:pPr>
        <w:pStyle w:val="Normal"/>
        <w:jc w:val="center"/>
        <w:rPr>
          <w:caps/>
          <w:sz w:val="24"/>
        </w:rPr>
      </w:pPr>
      <w:r>
        <w:rPr>
          <w:caps/>
          <w:sz w:val="24"/>
        </w:rPr>
      </w:r>
    </w:p>
    <w:p>
      <w:pPr>
        <w:pStyle w:val="Normal"/>
        <w:jc w:val="center"/>
        <w:rPr>
          <w:sz w:val="24"/>
        </w:rPr>
      </w:pPr>
      <w:r>
        <w:rPr>
          <w:sz w:val="24"/>
        </w:rPr>
      </w:r>
    </w:p>
    <w:p>
      <w:pPr>
        <w:pStyle w:val="BodyText"/>
        <w:tabs>
          <w:tab w:val="clear" w:pos="720"/>
          <w:tab w:val="left" w:pos="1440" w:leader="none"/>
        </w:tabs>
        <w:rPr/>
      </w:pPr>
      <w:r>
        <w:rPr/>
        <w:tab/>
        <w:t>In Order No. 637</w:t>
      </w:r>
      <w:r>
        <w:rPr>
          <w:rStyle w:val="FootnoteCharacters"/>
          <w:rStyle w:val="FootnoteReference"/>
        </w:rPr>
        <w:footnoteReference w:id="2"/>
      </w:r>
      <w:r>
        <w:rPr/>
        <w:t>, the Federal Energy Regulatory Commission (“Commission”) issued regulations intended to foster the competitiveness and efficiency of the interstate natural gas pipeline grid.  That order required jurisdictional pipelines to make compliance filings that effectuated the changes adopted in Order No. 637.  Enron North America (“ENA”) hereby files its motion for leave to intervene and comments on the compliance filing of Koch Gateway Pipeline Company (“Koch”) in the above captioned-docket.</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t>I.</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r>
    </w:p>
    <w:p>
      <w:pPr>
        <w:pStyle w:val="Heading3"/>
        <w:ind w:hanging="0" w:start="0"/>
        <w:rPr/>
      </w:pPr>
      <w:r>
        <w:rPr/>
        <w:t>INTERVENTION</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ENA is comprised of a number of companies which are subsidiaries of Enron Corp.  In the natural gas industry, ENA's activities include buying and selling natural gas in North America, providing a broad array of services to gas producers, offering price hedging and risk management services to gas buyers and sellers, and offering producers and other market participants various financing options.  The ENA companies purchase and sell over 12.7 BBtue per day under a mix of spot, intermediate and long-term contracts with both fixed and indexed pricing structures.</w:t>
      </w:r>
    </w:p>
    <w:p>
      <w:pPr>
        <w:pStyle w:val="BodyText"/>
        <w:tabs>
          <w:tab w:val="clear" w:pos="720"/>
          <w:tab w:val="left" w:pos="1440" w:leader="none"/>
        </w:tabs>
        <w:rPr/>
      </w:pPr>
      <w:r>
        <w:rPr/>
        <w:tab/>
        <w:t>As a shipper and marketer of natural gas, the ENA companies have an interest which may be directly affected by the outcome in these proceedings.  Moreover, ENA’s interests cannot be adequately represented by any other party to these proceedings, and ENA’s participation in these proceedings will be in the public interest.</w:t>
      </w:r>
    </w:p>
    <w:p>
      <w:pPr>
        <w:pStyle w:val="BodyText"/>
        <w:tabs>
          <w:tab w:val="clear" w:pos="720"/>
          <w:tab w:val="left" w:pos="1440" w:leader="none"/>
        </w:tabs>
        <w:jc w:val="center"/>
        <w:rPr>
          <w:b/>
        </w:rPr>
      </w:pPr>
      <w:r>
        <w:rPr>
          <w:b/>
        </w:rPr>
        <w:t>II.</w:t>
      </w:r>
    </w:p>
    <w:p>
      <w:pPr>
        <w:pStyle w:val="BodyText"/>
        <w:tabs>
          <w:tab w:val="clear" w:pos="720"/>
          <w:tab w:val="left" w:pos="1440" w:leader="none"/>
        </w:tabs>
        <w:jc w:val="center"/>
        <w:rPr>
          <w:b/>
        </w:rPr>
      </w:pPr>
      <w:r>
        <w:rPr>
          <w:b/>
        </w:rPr>
        <w:t>COMMENTS</w:t>
      </w:r>
    </w:p>
    <w:p>
      <w:pPr>
        <w:pStyle w:val="BodyText"/>
        <w:ind w:firstLine="1440" w:end="0"/>
        <w:rPr/>
      </w:pPr>
      <w:r>
        <w:rPr/>
        <w:t xml:space="preserve">In Order No. 637, the Commission required pipelines to permit firm shippers to make use of their capacity by segmenting that capacity into separate parts for their own use or for the purpose of releasing that capacity to replacement shippers to the extent such segmentation is operationally feasible.  On rehearing, the Commission refused to eliminate the “operationally feasible” requirement from the rule, stating that the “goal in permitting shippers to segment capacity is to enable firm shippers to use the capacity for which they have contracted as flexibly as possible without infringing on the legitimate rights of other shippers.”  (Order No. 637-A, p. 114.)  </w:t>
      </w:r>
    </w:p>
    <w:p>
      <w:pPr>
        <w:pStyle w:val="BodyText"/>
        <w:ind w:firstLine="1440" w:end="0"/>
        <w:rPr/>
      </w:pPr>
      <w:r>
        <w:rPr/>
        <w:t>Koch has not proposed to implement segmentation on its system.  Its justification for this is that segmentation is not operationally feasible on its system.  Koch maintains that its web-like system, with receipt and delivery points interspersed throughout, makes it very difficult to both allocate costs based upon mileage and to attribute fuel to specific shipments of gas.  According to Koch, shifting flow patterns in response to market changes also contribute to problems that would be associated with segmentation.</w:t>
      </w:r>
      <w:r>
        <w:br w:type="page"/>
      </w:r>
    </w:p>
    <w:p>
      <w:pPr>
        <w:pStyle w:val="BodyText"/>
        <w:ind w:firstLine="1440" w:end="0"/>
        <w:rPr/>
      </w:pPr>
      <w:r>
        <w:rPr/>
        <w:t>ENA has no basis upon which to dispute the claims Koch makes concerning the difficulty that it would have if it implemented segmentation rules as contemplated under Order No. 637.  ENA would recommend, however, that a technical conference be convened in this docket for the purpose of exploring whether there are alternative ways to ensure that the Commission’s goal of giving firm shippers as much flexibility as possible is achieved.  This type of a forum gives the pipeline, the shippers and the Commission a chance to focus on specific operational issues and to explore alternatives and innovative ways to realize the goals of Order No. 637.</w:t>
      </w:r>
    </w:p>
    <w:p>
      <w:pPr>
        <w:pStyle w:val="BodyText"/>
        <w:tabs>
          <w:tab w:val="clear" w:pos="720"/>
          <w:tab w:val="left" w:pos="1440" w:leader="none"/>
        </w:tabs>
        <w:jc w:val="center"/>
        <w:rPr>
          <w:b/>
          <w:caps/>
        </w:rPr>
      </w:pPr>
      <w:r>
        <w:rPr>
          <w:b/>
          <w:caps/>
        </w:rPr>
        <w:t>III.</w:t>
      </w:r>
    </w:p>
    <w:p>
      <w:pPr>
        <w:pStyle w:val="BodyText"/>
        <w:keepNext w:val="true"/>
        <w:tabs>
          <w:tab w:val="clear" w:pos="720"/>
          <w:tab w:val="left" w:pos="1269" w:leader="none"/>
          <w:tab w:val="left" w:pos="1440" w:leader="none"/>
        </w:tabs>
        <w:jc w:val="center"/>
        <w:rPr>
          <w:b/>
          <w:caps/>
        </w:rPr>
      </w:pPr>
      <w:r>
        <w:rPr>
          <w:b/>
          <w:caps/>
        </w:rPr>
        <w:t>Conclusion</w:t>
      </w:r>
    </w:p>
    <w:p>
      <w:pPr>
        <w:pStyle w:val="BodyText"/>
        <w:tabs>
          <w:tab w:val="clear" w:pos="720"/>
          <w:tab w:val="left" w:pos="1440" w:leader="none"/>
        </w:tabs>
        <w:rPr/>
      </w:pPr>
      <w:r>
        <w:rPr>
          <w:caps/>
        </w:rPr>
        <w:tab/>
        <w:t xml:space="preserve">WHEREFORE, </w:t>
      </w:r>
      <w:r>
        <w:rPr/>
        <w:t>in light of the foregoing, ENA respectfully requests that the Commission grant it leave to intervene in this proceeding and that the Commission call for a technical conference in this proceeding to discuss alternatives to segmentation.</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u w:val="single"/>
        </w:rPr>
      </w:pPr>
      <w:r>
        <w:rPr>
          <w:sz w:val="24"/>
        </w:rPr>
        <w:t>Dated:  July 17,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r>
        <w:br w:type="page"/>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rPr>
      </w:pPr>
      <w:r>
        <w:rPr>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sz w:val="24"/>
        </w:rPr>
        <w:tab/>
        <w:t>Dated this 17</w:t>
      </w:r>
      <w:r>
        <w:rPr>
          <w:sz w:val="24"/>
          <w:vertAlign w:val="superscript"/>
        </w:rPr>
        <w:t>th</w:t>
      </w:r>
      <w:r>
        <w:rPr>
          <w:sz w:val="24"/>
        </w:rPr>
        <w:t xml:space="preserve"> day of July,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BodyText"/>
        <w:jc w:val="center"/>
        <w:rPr/>
      </w:pPr>
      <w:r>
        <w:rPr/>
        <w:tab/>
        <w:tab/>
        <w:tab/>
        <w:tab/>
        <w:t>Leslie J. Lawner</w:t>
      </w:r>
    </w:p>
    <w:p>
      <w:pPr>
        <w:pStyle w:val="BodyText"/>
        <w:rPr/>
      </w:pPr>
      <w:r>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rPr>
        <w:t>Regulation of Short-Term Natural Gas Transportation Services and Regulation of Interstate Natural Gas Transportation Services</w:t>
      </w:r>
      <w:r>
        <w:rPr/>
        <w:t xml:space="preserve">, 63 Fed Reg. 10156 (Feb. 25, 2000), III F.E.R.C. Stats. &amp; Regs. ¶ 31,091 (2000) (Order No. 637), </w:t>
      </w:r>
      <w:r>
        <w:rPr>
          <w:i/>
        </w:rPr>
        <w:t>order on reh’g</w:t>
      </w:r>
      <w:r>
        <w:rPr/>
        <w:t>, 91 F.E.R.C. ¶ 61,169 (2000) (Order No. 637-A).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1440" w:leader="none"/>
        <w:tab w:val="left" w:pos="3600" w:leader="none"/>
        <w:tab w:val="left" w:pos="4320" w:leader="none"/>
        <w:tab w:val="left" w:pos="5040" w:leader="none"/>
        <w:tab w:val="left" w:pos="5856" w:leader="none"/>
      </w:tabs>
      <w:spacing w:lineRule="auto" w:line="480"/>
      <w:jc w:val="center"/>
      <w:outlineLvl w:val="2"/>
    </w:pPr>
    <w:rPr>
      <w:b/>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2000-07-14T13:06:00Z</dcterms:created>
  <dc:creator>leslie joyce lawner</dc:creator>
  <dc:description/>
  <dc:language>en-CA</dc:language>
  <cp:lastModifiedBy>bcantre</cp:lastModifiedBy>
  <cp:lastPrinted>2000-07-14T15:51:00Z</cp:lastPrinted>
  <dcterms:modified xsi:type="dcterms:W3CDTF">2000-07-14T18:21:00Z</dcterms:modified>
  <cp:revision>5</cp:revision>
  <dc:subject/>
  <dc:title>UNITED STATES OF AMERICA</dc:title>
</cp:coreProperties>
</file>