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tabs>
          <w:tab w:val="clear" w:pos="720"/>
          <w:tab w:val="left" w:pos="6804" w:leader="none"/>
        </w:tabs>
        <w:bidi w:val="0"/>
        <w:jc w:val="start"/>
        <w:rPr>
          <w:rFonts w:ascii="Times New Roman" w:hAnsi="Times New Roman"/>
          <w:sz w:val="20"/>
        </w:rPr>
      </w:pPr>
      <w:r>
        <w:rPr/>
        <w:tab/>
      </w:r>
      <w:r>
        <w:rPr>
          <w:sz w:val="20"/>
        </w:rPr>
        <w:t>Transaction No.: [         ]</w:t>
      </w:r>
    </w:p>
    <w:p>
      <w:pPr>
        <w:pStyle w:val="Normal"/>
        <w:widowControl/>
        <w:suppressAutoHyphens w:val="true"/>
        <w:bidi w:val="0"/>
        <w:jc w:val="start"/>
        <w:rPr/>
      </w:pPr>
      <w:r>
        <w:rPr/>
        <w:tab/>
      </w:r>
    </w:p>
    <w:tbl>
      <w:tblPr>
        <w:tblW w:w="9576" w:type="dxa"/>
        <w:jc w:val="start"/>
        <w:tblInd w:w="0" w:type="dxa"/>
        <w:tblLayout w:type="fixed"/>
        <w:tblCellMar>
          <w:top w:w="0" w:type="dxa"/>
          <w:start w:w="108" w:type="dxa"/>
          <w:bottom w:w="0" w:type="dxa"/>
          <w:end w:w="108" w:type="dxa"/>
        </w:tblCellMar>
      </w:tblPr>
      <w:tblGrid>
        <w:gridCol w:w="4697"/>
        <w:gridCol w:w="4878"/>
      </w:tblGrid>
      <w:tr>
        <w:trPr/>
        <w:tc>
          <w:tcPr>
            <w:tcW w:w="4697" w:type="dxa"/>
            <w:tcBorders/>
          </w:tcPr>
          <w:p>
            <w:pPr>
              <w:pStyle w:val="Normal"/>
              <w:tabs>
                <w:tab w:val="clear" w:pos="720"/>
              </w:tabs>
              <w:bidi w:val="0"/>
              <w:jc w:val="start"/>
              <w:rPr/>
            </w:pPr>
            <w:r>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bidi w:val="0"/>
              <w:ind w:hanging="0" w:start="1962"/>
              <w:jc w:val="start"/>
              <w:rPr>
                <w:b/>
              </w:rPr>
            </w:pPr>
            <w:r>
              <w:rPr>
                <w:b/>
                <w:lang w:val="en-CA"/>
              </w:rPr>
              <w:fldChar w:fldCharType="begin"/>
            </w:r>
            <w:r>
              <w:rPr>
                <w:b/>
                <w:lang w:val="en-CA"/>
              </w:rPr>
              <w:instrText xml:space="preserve"> MERGEFIELD EnronEntityName </w:instrText>
            </w:r>
            <w:r>
              <w:rPr>
                <w:b/>
                <w:lang w:val="en-CA"/>
              </w:rPr>
              <w:fldChar w:fldCharType="separate"/>
            </w:r>
            <w:r>
              <w:rPr>
                <w:b/>
                <w:lang w:val="en-CA"/>
              </w:rPr>
              <w:t>Enron North America Corp.</w:t>
            </w:r>
            <w:r>
              <w:rPr>
                <w:b/>
                <w:lang w:val="en-CA"/>
              </w:rPr>
              <w:fldChar w:fldCharType="end"/>
            </w:r>
          </w:p>
          <w:p>
            <w:pPr>
              <w:pStyle w:val="Normal"/>
              <w:tabs>
                <w:tab w:val="clear" w:pos="720"/>
                <w:tab w:val="left" w:pos="2412" w:leader="none"/>
              </w:tabs>
              <w:bidi w:val="0"/>
              <w:ind w:hanging="0" w:start="1962"/>
              <w:jc w:val="start"/>
              <w:rPr>
                <w:i/>
                <w:i/>
              </w:rPr>
            </w:pPr>
            <w:r>
              <w:rPr>
                <w:i/>
                <w:lang w:val="en-CA"/>
              </w:rPr>
              <w:fldChar w:fldCharType="begin"/>
            </w:r>
            <w:r>
              <w:rPr>
                <w:i/>
                <w:lang w:val="en-CA"/>
              </w:rPr>
              <w:instrText xml:space="preserve"> MERGEFIELD EnronLogoAddr1 </w:instrText>
            </w:r>
            <w:r>
              <w:rPr>
                <w:i/>
                <w:lang w:val="en-CA"/>
              </w:rPr>
              <w:fldChar w:fldCharType="separate"/>
            </w:r>
            <w:r>
              <w:rPr>
                <w:i/>
                <w:lang w:val="en-CA"/>
              </w:rPr>
              <w:t>P.O. Box 4428</w:t>
            </w:r>
            <w:r>
              <w:rPr>
                <w:i/>
                <w:lang w:val="en-CA"/>
              </w:rPr>
              <w:fldChar w:fldCharType="end"/>
            </w:r>
          </w:p>
          <w:p>
            <w:pPr>
              <w:pStyle w:val="Normal"/>
              <w:tabs>
                <w:tab w:val="clear" w:pos="720"/>
                <w:tab w:val="left" w:pos="2412" w:leader="none"/>
              </w:tabs>
              <w:bidi w:val="0"/>
              <w:ind w:hanging="0" w:start="1962"/>
              <w:jc w:val="start"/>
              <w:rPr>
                <w:i/>
                <w:i/>
              </w:rPr>
            </w:pPr>
            <w:r>
              <w:rPr>
                <w:i/>
                <w:lang w:val="en-CA"/>
              </w:rPr>
              <w:fldChar w:fldCharType="begin"/>
            </w:r>
            <w:r>
              <w:rPr>
                <w:i/>
                <w:lang w:val="en-CA"/>
              </w:rPr>
              <w:instrText xml:space="preserve"> MERGEFIELD EnronLogoAddr2 </w:instrText>
            </w:r>
            <w:r>
              <w:rPr>
                <w:i/>
                <w:lang w:val="en-CA"/>
              </w:rPr>
              <w:fldChar w:fldCharType="separate"/>
            </w:r>
            <w:r>
              <w:rPr>
                <w:i/>
                <w:lang w:val="en-CA"/>
              </w:rPr>
              <w:t>Houston TX 77210-4428</w:t>
            </w:r>
            <w:r>
              <w:rPr>
                <w:i/>
                <w:lang w:val="en-CA"/>
              </w:rPr>
              <w:fldChar w:fldCharType="end"/>
            </w:r>
          </w:p>
          <w:p>
            <w:pPr>
              <w:pStyle w:val="Normal"/>
              <w:tabs>
                <w:tab w:val="clear" w:pos="720"/>
                <w:tab w:val="left" w:pos="2412" w:leader="none"/>
              </w:tabs>
              <w:bidi w:val="0"/>
              <w:ind w:hanging="0" w:start="1962"/>
              <w:jc w:val="start"/>
              <w:rPr>
                <w:i/>
                <w:i/>
              </w:rPr>
            </w:pPr>
            <w:r>
              <w:rPr>
                <w:i/>
                <w:lang w:val="en-CA"/>
              </w:rPr>
              <w:fldChar w:fldCharType="begin"/>
            </w:r>
            <w:r>
              <w:rPr>
                <w:i/>
                <w:lang w:val="en-CA"/>
              </w:rPr>
              <w:instrText xml:space="preserve"> MERGEFIELD EnronLogoAddr3 </w:instrText>
            </w:r>
            <w:r>
              <w:rPr>
                <w:i/>
                <w:lang w:val="en-CA"/>
              </w:rPr>
              <w:fldChar w:fldCharType="separate"/>
            </w:r>
            <w:r>
              <w:rPr>
                <w:i/>
                <w:lang w:val="en-CA"/>
              </w:rPr>
              <w:t>(713) 853-3300</w:t>
            </w:r>
            <w:r>
              <w:rPr>
                <w:i/>
                <w:lang w:val="en-CA"/>
              </w:rPr>
              <w:fldChar w:fldCharType="end"/>
            </w:r>
          </w:p>
          <w:p>
            <w:pPr>
              <w:pStyle w:val="Normal"/>
              <w:tabs>
                <w:tab w:val="clear" w:pos="720"/>
                <w:tab w:val="left" w:pos="2412" w:leader="none"/>
              </w:tabs>
              <w:bidi w:val="0"/>
              <w:ind w:hanging="0" w:start="1962"/>
              <w:jc w:val="start"/>
              <w:rPr>
                <w:i/>
                <w:i/>
              </w:rPr>
            </w:pPr>
            <w:r>
              <w:rPr>
                <w:i/>
                <w:lang w:val="en-CA"/>
              </w:rPr>
              <w:fldChar w:fldCharType="begin"/>
            </w:r>
            <w:r>
              <w:rPr>
                <w:i/>
                <w:lang w:val="en-CA"/>
              </w:rPr>
              <w:instrText xml:space="preserve"> MERGEFIELD EnronLogoTelephone </w:instrText>
            </w:r>
            <w:r>
              <w:rPr>
                <w:i/>
                <w:lang w:val="en-CA"/>
              </w:rPr>
              <w:fldChar w:fldCharType="separate"/>
            </w:r>
            <w:r>
              <w:rPr>
                <w:i/>
                <w:lang w:val="en-CA"/>
              </w:rPr>
              <w:t>Fax (713) 646-4816</w:t>
            </w:r>
            <w:r>
              <w:rPr>
                <w:i/>
                <w:lang w:val="en-CA"/>
              </w:rPr>
              <w:fldChar w:fldCharType="end"/>
            </w:r>
          </w:p>
          <w:p>
            <w:pPr>
              <w:pStyle w:val="Normal"/>
              <w:tabs>
                <w:tab w:val="clear" w:pos="720"/>
                <w:tab w:val="left" w:pos="2412" w:leader="none"/>
              </w:tabs>
              <w:bidi w:val="0"/>
              <w:ind w:hanging="0" w:start="1962"/>
              <w:jc w:val="start"/>
              <w:rPr/>
            </w:pPr>
            <w:r>
              <w:rPr>
                <w:i/>
                <w:lang w:val="en-CA"/>
              </w:rPr>
              <w:fldChar w:fldCharType="begin"/>
            </w:r>
            <w:r>
              <w:rPr>
                <w:i/>
                <w:lang w:val="en-CA"/>
              </w:rPr>
              <w:instrText xml:space="preserve"> MERGEFIELD EnronLogoFax </w:instrText>
            </w:r>
            <w:r>
              <w:rPr>
                <w:i/>
                <w:lang w:val="en-CA"/>
              </w:rPr>
              <w:fldChar w:fldCharType="separate"/>
            </w:r>
            <w:r>
              <w:rPr>
                <w:i/>
                <w:lang w:val="en-CA"/>
              </w:rPr>
              <w:t xml:space="preserve"> </w:t>
            </w:r>
            <w:r>
              <w:rPr>
                <w:i/>
                <w:lang w:val="en-CA"/>
              </w:rPr>
              <w:fldChar w:fldCharType="end"/>
            </w:r>
          </w:p>
        </w:tc>
      </w:tr>
    </w:tbl>
    <w:p>
      <w:pPr>
        <w:pStyle w:val="Normal"/>
        <w:bidi w:val="0"/>
        <w:jc w:val="start"/>
        <w:rPr/>
      </w:pPr>
      <w:r>
        <w:rPr/>
      </w:r>
    </w:p>
    <w:p>
      <w:pPr>
        <w:pStyle w:val="Normal"/>
        <w:bidi w:val="0"/>
        <w:jc w:val="center"/>
        <w:rPr>
          <w:b/>
        </w:rPr>
      </w:pPr>
      <w:r>
        <w:rPr>
          <w:b/>
        </w:rPr>
        <w:t xml:space="preserve"> </w:t>
      </w:r>
      <w:r>
        <w:rPr>
          <w:b/>
        </w:rPr>
        <w:t xml:space="preserve">CONFIRMATION </w:t>
      </w:r>
    </w:p>
    <w:p>
      <w:pPr>
        <w:pStyle w:val="BodyText"/>
        <w:bidi w:val="0"/>
        <w:jc w:val="center"/>
        <w:rPr>
          <w:rFonts w:ascii="Times New Roman" w:hAnsi="Times New Roman"/>
          <w:b/>
          <w:sz w:val="20"/>
        </w:rPr>
      </w:pPr>
      <w:r>
        <w:rPr>
          <w:b/>
          <w:sz w:val="20"/>
        </w:rPr>
        <w:t>(U.S. BANKRUPTCY SWAP)</w:t>
      </w:r>
    </w:p>
    <w:p>
      <w:pPr>
        <w:pStyle w:val="Normal"/>
        <w:bidi w:val="0"/>
        <w:jc w:val="start"/>
        <w:rPr/>
      </w:pPr>
      <w:r>
        <w:rPr/>
      </w:r>
    </w:p>
    <w:p>
      <w:pPr>
        <w:pStyle w:val="Normal"/>
        <w:tabs>
          <w:tab w:val="clear" w:pos="720"/>
          <w:tab w:val="left" w:pos="851" w:leader="none"/>
        </w:tabs>
        <w:bidi w:val="0"/>
        <w:jc w:val="start"/>
        <w:rPr/>
      </w:pPr>
      <w:r>
        <w:rPr/>
        <w:t>Date:</w:t>
        <w:tab/>
        <w:t>[</w:t>
        <w:tab/>
        <w:t xml:space="preserve">] </w:t>
      </w:r>
    </w:p>
    <w:p>
      <w:pPr>
        <w:pStyle w:val="Normal"/>
        <w:tabs>
          <w:tab w:val="clear" w:pos="720"/>
          <w:tab w:val="left" w:pos="851" w:leader="none"/>
        </w:tabs>
        <w:bidi w:val="0"/>
        <w:jc w:val="start"/>
        <w:rPr/>
      </w:pPr>
      <w:r>
        <w:rPr/>
        <w:t>To:</w:t>
        <w:tab/>
        <w:t>Koch Industries Inc. (“Party B”)</w:t>
      </w:r>
    </w:p>
    <w:p>
      <w:pPr>
        <w:pStyle w:val="Normal"/>
        <w:tabs>
          <w:tab w:val="clear" w:pos="720"/>
          <w:tab w:val="left" w:pos="851" w:leader="none"/>
        </w:tabs>
        <w:bidi w:val="0"/>
        <w:jc w:val="start"/>
        <w:rPr/>
      </w:pPr>
      <w:r>
        <w:rPr/>
        <w:t>Attention:</w:t>
        <w:tab/>
        <w:t>[</w:t>
        <w:tab/>
        <w:t xml:space="preserve">] </w:t>
      </w:r>
    </w:p>
    <w:p>
      <w:pPr>
        <w:pStyle w:val="Normal"/>
        <w:tabs>
          <w:tab w:val="clear" w:pos="720"/>
          <w:tab w:val="left" w:pos="851" w:leader="none"/>
        </w:tabs>
        <w:bidi w:val="0"/>
        <w:jc w:val="start"/>
        <w:rPr/>
      </w:pPr>
      <w:r>
        <w:rPr/>
        <w:t>Fax No.:</w:t>
        <w:tab/>
        <w:t>[</w:t>
        <w:tab/>
        <w:t>]</w:t>
      </w:r>
    </w:p>
    <w:p>
      <w:pPr>
        <w:pStyle w:val="Normal"/>
        <w:tabs>
          <w:tab w:val="clear" w:pos="720"/>
          <w:tab w:val="left" w:pos="851" w:leader="none"/>
        </w:tabs>
        <w:bidi w:val="0"/>
        <w:jc w:val="start"/>
        <w:rPr/>
      </w:pPr>
      <w:r>
        <w:rPr/>
        <w:t>From:</w:t>
        <w:tab/>
      </w:r>
      <w:r>
        <w:rPr>
          <w:lang w:val="en-CA"/>
        </w:rPr>
        <w:fldChar w:fldCharType="begin"/>
      </w:r>
      <w:r>
        <w:rPr>
          <w:lang w:val="en-CA"/>
        </w:rPr>
        <w:instrText xml:space="preserve"> MERGEFIELD EnronEntityNameCode </w:instrText>
      </w:r>
      <w:r>
        <w:rPr>
          <w:lang w:val="en-CA"/>
        </w:rPr>
        <w:fldChar w:fldCharType="separate"/>
      </w:r>
      <w:r>
        <w:rPr>
          <w:lang w:val="en-CA"/>
        </w:rPr>
        <w:t>Enron North America Corp.</w:t>
      </w:r>
      <w:r>
        <w:rPr>
          <w:lang w:val="en-CA"/>
        </w:rPr>
        <w:fldChar w:fldCharType="end"/>
      </w:r>
      <w:r>
        <w:rPr/>
        <w:t xml:space="preserve"> (“Party A”)</w:t>
      </w:r>
    </w:p>
    <w:p>
      <w:pPr>
        <w:pStyle w:val="Normal"/>
        <w:tabs>
          <w:tab w:val="clear" w:pos="720"/>
          <w:tab w:val="left" w:pos="851" w:leader="none"/>
        </w:tabs>
        <w:bidi w:val="0"/>
        <w:jc w:val="start"/>
        <w:rPr/>
      </w:pPr>
      <w:r>
        <w:rPr/>
        <w:t>Re:</w:t>
        <w:tab/>
        <w:t>Bankruptcy Swap [</w:t>
        <w:tab/>
        <w:t xml:space="preserve">] </w:t>
      </w:r>
    </w:p>
    <w:p>
      <w:pPr>
        <w:pStyle w:val="Normal"/>
        <w:bidi w:val="0"/>
        <w:jc w:val="start"/>
        <w:rPr/>
      </w:pPr>
      <w:r>
        <w:rPr/>
      </w:r>
    </w:p>
    <w:p>
      <w:pPr>
        <w:pStyle w:val="Normal"/>
        <w:bidi w:val="0"/>
        <w:jc w:val="start"/>
        <w:rPr/>
      </w:pPr>
      <w:r>
        <w:rPr/>
      </w:r>
    </w:p>
    <w:p>
      <w:pPr>
        <w:pStyle w:val="Normal"/>
        <w:bidi w:val="0"/>
        <w:jc w:val="start"/>
        <w:rPr/>
      </w:pPr>
      <w:r>
        <w:rPr/>
        <w:t>Dear Sirs,</w:t>
      </w:r>
    </w:p>
    <w:p>
      <w:pPr>
        <w:pStyle w:val="Normal"/>
        <w:bidi w:val="0"/>
        <w:jc w:val="start"/>
        <w:rPr/>
      </w:pPr>
      <w:r>
        <w:rPr/>
      </w:r>
    </w:p>
    <w:p>
      <w:pPr>
        <w:pStyle w:val="Normal"/>
        <w:bidi w:val="0"/>
        <w:jc w:val="both"/>
        <w:rPr/>
      </w:pPr>
      <w:r>
        <w:rPr/>
        <w:t>The purpose of this letter (this “Confirmation”) is to confirm the terms and conditions of the Credit Derivative Transaction entered into between us on the Trade Date specified below (the “Transaction”).    This Confirmation constitutes a “Confirmation” as referred to in the ISDA Master Agreement specified below.</w:t>
      </w:r>
    </w:p>
    <w:p>
      <w:pPr>
        <w:pStyle w:val="Normal"/>
        <w:bidi w:val="0"/>
        <w:jc w:val="both"/>
        <w:rPr/>
      </w:pPr>
      <w:r>
        <w:rPr/>
      </w:r>
    </w:p>
    <w:p>
      <w:pPr>
        <w:pStyle w:val="Normal"/>
        <w:bidi w:val="0"/>
        <w:jc w:val="both"/>
        <w:rPr/>
      </w:pPr>
      <w:r>
        <w:rPr/>
        <w:t>This Confirmation supplements, forms a part of, and is subject to, the ISDA Master Agreement dated as of 29 August 1994, as amended and supplemented from time to time (the “Agreement”), between you and us.    All provisions contained in the Agreement govern this Confirmation except as expressly modified below.    In the event of any inconsistency between the Agreement and this Confirmation, this Confirmation shall prevail for the purposes of this Transaction.</w:t>
      </w:r>
    </w:p>
    <w:p>
      <w:pPr>
        <w:pStyle w:val="Normal"/>
        <w:bidi w:val="0"/>
        <w:jc w:val="start"/>
        <w:rPr/>
      </w:pPr>
      <w:r>
        <w:rPr/>
      </w:r>
    </w:p>
    <w:p>
      <w:pPr>
        <w:pStyle w:val="Normal"/>
        <w:bidi w:val="0"/>
        <w:jc w:val="start"/>
        <w:rPr/>
      </w:pPr>
      <w:r>
        <w:rPr/>
        <w:t>The terms of the Transaction to which this Confirmation relates are as follows:</w:t>
      </w:r>
    </w:p>
    <w:p>
      <w:pPr>
        <w:pStyle w:val="Normal"/>
        <w:bidi w:val="0"/>
        <w:jc w:val="start"/>
        <w:rPr/>
      </w:pPr>
      <w:r>
        <w:rPr/>
      </w:r>
    </w:p>
    <w:tbl>
      <w:tblPr>
        <w:tblW w:w="10031" w:type="dxa"/>
        <w:jc w:val="start"/>
        <w:tblInd w:w="0" w:type="dxa"/>
        <w:tblLayout w:type="fixed"/>
        <w:tblCellMar>
          <w:top w:w="0" w:type="dxa"/>
          <w:start w:w="108" w:type="dxa"/>
          <w:bottom w:w="0" w:type="dxa"/>
          <w:end w:w="108" w:type="dxa"/>
        </w:tblCellMar>
      </w:tblPr>
      <w:tblGrid>
        <w:gridCol w:w="2943"/>
        <w:gridCol w:w="7087"/>
      </w:tblGrid>
      <w:tr>
        <w:trPr/>
        <w:tc>
          <w:tcPr>
            <w:tcW w:w="2943" w:type="dxa"/>
            <w:tcBorders/>
          </w:tcPr>
          <w:p>
            <w:pPr>
              <w:pStyle w:val="Normal"/>
              <w:tabs>
                <w:tab w:val="clear" w:pos="720"/>
              </w:tabs>
              <w:bidi w:val="0"/>
              <w:spacing w:before="120" w:after="120"/>
              <w:jc w:val="start"/>
              <w:rPr/>
            </w:pPr>
            <w:r>
              <w:rPr/>
              <w:t>1.    General Terms</w:t>
            </w:r>
          </w:p>
        </w:tc>
        <w:tc>
          <w:tcPr>
            <w:tcW w:w="7087" w:type="dxa"/>
            <w:tcBorders/>
          </w:tcPr>
          <w:p>
            <w:pPr>
              <w:pStyle w:val="Normal"/>
              <w:tabs>
                <w:tab w:val="clear" w:pos="720"/>
              </w:tabs>
              <w:bidi w:val="0"/>
              <w:spacing w:before="120" w:after="120"/>
              <w:jc w:val="start"/>
              <w:rPr/>
            </w:pPr>
            <w:r>
              <w:rPr/>
            </w:r>
          </w:p>
        </w:tc>
      </w:tr>
      <w:tr>
        <w:trPr/>
        <w:tc>
          <w:tcPr>
            <w:tcW w:w="2943" w:type="dxa"/>
            <w:tcBorders/>
          </w:tcPr>
          <w:p>
            <w:pPr>
              <w:pStyle w:val="Normal"/>
              <w:tabs>
                <w:tab w:val="clear" w:pos="720"/>
              </w:tabs>
              <w:bidi w:val="0"/>
              <w:spacing w:before="120" w:after="120"/>
              <w:jc w:val="start"/>
              <w:rPr/>
            </w:pPr>
            <w:r>
              <w:rPr/>
              <w:t>Trade Date:</w:t>
            </w:r>
          </w:p>
        </w:tc>
        <w:tc>
          <w:tcPr>
            <w:tcW w:w="7087" w:type="dxa"/>
            <w:tcBorders/>
          </w:tcPr>
          <w:p>
            <w:pPr>
              <w:pStyle w:val="Normal"/>
              <w:tabs>
                <w:tab w:val="clear" w:pos="720"/>
              </w:tabs>
              <w:bidi w:val="0"/>
              <w:spacing w:before="120" w:after="120"/>
              <w:jc w:val="start"/>
              <w:rPr/>
            </w:pPr>
            <w:r>
              <w:rPr/>
              <w:t>[</w:t>
            </w:r>
            <w:r>
              <w:rPr>
                <w:i/>
              </w:rPr>
              <w:t>insert date</w:t>
            </w:r>
            <w:r>
              <w:rPr/>
              <w:t>]</w:t>
            </w:r>
          </w:p>
        </w:tc>
      </w:tr>
      <w:tr>
        <w:trPr/>
        <w:tc>
          <w:tcPr>
            <w:tcW w:w="2943" w:type="dxa"/>
            <w:tcBorders/>
          </w:tcPr>
          <w:p>
            <w:pPr>
              <w:pStyle w:val="Normal"/>
              <w:bidi w:val="0"/>
              <w:spacing w:before="120" w:after="120"/>
              <w:jc w:val="start"/>
              <w:rPr/>
            </w:pPr>
            <w:r>
              <w:rPr/>
              <w:t>Effective Date:</w:t>
            </w:r>
          </w:p>
        </w:tc>
        <w:tc>
          <w:tcPr>
            <w:tcW w:w="7087" w:type="dxa"/>
            <w:tcBorders/>
          </w:tcPr>
          <w:p>
            <w:pPr>
              <w:pStyle w:val="Normal"/>
              <w:bidi w:val="0"/>
              <w:spacing w:before="120" w:after="120"/>
              <w:jc w:val="start"/>
              <w:rPr/>
            </w:pPr>
            <w:r>
              <w:rPr/>
              <w:t>12.01 a.m. on the date falling two Months after the Trade Date.</w:t>
            </w:r>
          </w:p>
        </w:tc>
      </w:tr>
      <w:tr>
        <w:trPr/>
        <w:tc>
          <w:tcPr>
            <w:tcW w:w="2943" w:type="dxa"/>
            <w:tcBorders/>
          </w:tcPr>
          <w:p>
            <w:pPr>
              <w:pStyle w:val="Normal"/>
              <w:bidi w:val="0"/>
              <w:spacing w:before="120" w:after="120"/>
              <w:jc w:val="start"/>
              <w:rPr/>
            </w:pPr>
            <w:r>
              <w:rPr/>
              <w:t>Scheduled Termination Date:</w:t>
            </w:r>
          </w:p>
        </w:tc>
        <w:tc>
          <w:tcPr>
            <w:tcW w:w="7087" w:type="dxa"/>
            <w:tcBorders/>
          </w:tcPr>
          <w:p>
            <w:pPr>
              <w:pStyle w:val="Normal"/>
              <w:bidi w:val="0"/>
              <w:spacing w:before="120" w:after="120"/>
              <w:jc w:val="start"/>
              <w:rPr/>
            </w:pPr>
            <w:r>
              <w:rPr/>
              <w:t>12.01 a.m. on [</w:t>
            </w:r>
            <w:r>
              <w:rPr>
                <w:i/>
              </w:rPr>
              <w:t>insert date</w:t>
            </w:r>
            <w:r>
              <w:rPr/>
              <w:t>] or, if that day is not a Business Day, the immediately preceding Business Day.</w:t>
            </w:r>
          </w:p>
        </w:tc>
      </w:tr>
      <w:tr>
        <w:trPr/>
        <w:tc>
          <w:tcPr>
            <w:tcW w:w="2943" w:type="dxa"/>
            <w:tcBorders/>
          </w:tcPr>
          <w:p>
            <w:pPr>
              <w:pStyle w:val="Normal"/>
              <w:bidi w:val="0"/>
              <w:spacing w:before="120" w:after="120"/>
              <w:jc w:val="start"/>
              <w:rPr/>
            </w:pPr>
            <w:r>
              <w:rPr/>
              <w:t>Floating Rate Payer:</w:t>
            </w:r>
          </w:p>
        </w:tc>
        <w:tc>
          <w:tcPr>
            <w:tcW w:w="7087" w:type="dxa"/>
            <w:tcBorders/>
          </w:tcPr>
          <w:p>
            <w:pPr>
              <w:pStyle w:val="Normal"/>
              <w:bidi w:val="0"/>
              <w:spacing w:before="120" w:after="120"/>
              <w:jc w:val="start"/>
              <w:rPr/>
            </w:pPr>
            <w:r>
              <w:rPr/>
              <w:t>Party A (the “Seller”)</w:t>
            </w:r>
          </w:p>
        </w:tc>
      </w:tr>
      <w:tr>
        <w:trPr/>
        <w:tc>
          <w:tcPr>
            <w:tcW w:w="2943" w:type="dxa"/>
            <w:tcBorders/>
          </w:tcPr>
          <w:p>
            <w:pPr>
              <w:pStyle w:val="Normal"/>
              <w:bidi w:val="0"/>
              <w:spacing w:before="120" w:after="120"/>
              <w:jc w:val="start"/>
              <w:rPr/>
            </w:pPr>
            <w:r>
              <w:rPr/>
              <w:t>Fixed Rate Payer:</w:t>
            </w:r>
          </w:p>
        </w:tc>
        <w:tc>
          <w:tcPr>
            <w:tcW w:w="7087" w:type="dxa"/>
            <w:tcBorders/>
          </w:tcPr>
          <w:p>
            <w:pPr>
              <w:pStyle w:val="Normal"/>
              <w:bidi w:val="0"/>
              <w:spacing w:before="120" w:after="120"/>
              <w:jc w:val="start"/>
              <w:rPr/>
            </w:pPr>
            <w:r>
              <w:rPr/>
              <w:t>Party B (the “Buyer”)</w:t>
            </w:r>
          </w:p>
        </w:tc>
      </w:tr>
      <w:tr>
        <w:trPr/>
        <w:tc>
          <w:tcPr>
            <w:tcW w:w="2943" w:type="dxa"/>
            <w:tcBorders/>
          </w:tcPr>
          <w:p>
            <w:pPr>
              <w:pStyle w:val="Normal"/>
              <w:bidi w:val="0"/>
              <w:spacing w:before="120" w:after="120"/>
              <w:jc w:val="start"/>
              <w:rPr/>
            </w:pPr>
            <w:r>
              <w:rPr/>
              <w:t>Calculation Agent:</w:t>
            </w:r>
          </w:p>
        </w:tc>
        <w:tc>
          <w:tcPr>
            <w:tcW w:w="7087" w:type="dxa"/>
            <w:tcBorders/>
          </w:tcPr>
          <w:p>
            <w:pPr>
              <w:pStyle w:val="Normal"/>
              <w:bidi w:val="0"/>
              <w:spacing w:before="120" w:after="120"/>
              <w:jc w:val="start"/>
              <w:rPr/>
            </w:pPr>
            <w:r>
              <w:rPr/>
              <w:t>Party A.    Whenever the Calculation Agent is required to act, it shall do so in good faith and in a commercially reasonable manner.    Furthermore, each party agrees that the Calculation Agent is not acting as a fiduciary for or as an advisor to such party in respect of its duties as Calculation Agent under this Transaction.</w:t>
            </w:r>
          </w:p>
        </w:tc>
      </w:tr>
      <w:tr>
        <w:trPr/>
        <w:tc>
          <w:tcPr>
            <w:tcW w:w="2943" w:type="dxa"/>
            <w:tcBorders/>
          </w:tcPr>
          <w:p>
            <w:pPr>
              <w:pStyle w:val="Normal"/>
              <w:bidi w:val="0"/>
              <w:spacing w:before="120" w:after="120"/>
              <w:jc w:val="start"/>
              <w:rPr/>
            </w:pPr>
            <w:r>
              <w:rPr/>
              <w:t>Reference Entity:</w:t>
            </w:r>
          </w:p>
        </w:tc>
        <w:tc>
          <w:tcPr>
            <w:tcW w:w="7087" w:type="dxa"/>
            <w:tcBorders/>
          </w:tcPr>
          <w:p>
            <w:pPr>
              <w:pStyle w:val="Normal"/>
              <w:bidi w:val="0"/>
              <w:spacing w:before="120" w:after="120"/>
              <w:jc w:val="start"/>
              <w:rPr/>
            </w:pPr>
            <w:r>
              <w:rPr/>
              <w:t>Chesapeake Energy Corp.</w:t>
            </w:r>
          </w:p>
        </w:tc>
      </w:tr>
      <w:tr>
        <w:trPr/>
        <w:tc>
          <w:tcPr>
            <w:tcW w:w="2943" w:type="dxa"/>
            <w:tcBorders/>
          </w:tcPr>
          <w:p>
            <w:pPr>
              <w:pStyle w:val="Normal"/>
              <w:bidi w:val="0"/>
              <w:spacing w:before="120" w:after="120"/>
              <w:jc w:val="start"/>
              <w:rPr/>
            </w:pPr>
            <w:r>
              <w:rPr/>
              <w:t>[Reference Obligation:]</w:t>
            </w:r>
          </w:p>
        </w:tc>
        <w:tc>
          <w:tcPr>
            <w:tcW w:w="7087" w:type="dxa"/>
            <w:tcBorders/>
          </w:tcPr>
          <w:p>
            <w:pPr>
              <w:pStyle w:val="Normal"/>
              <w:bidi w:val="0"/>
              <w:spacing w:before="120" w:after="120"/>
              <w:jc w:val="start"/>
              <w:rPr/>
            </w:pPr>
            <w:r>
              <w:rPr/>
              <w:t>[</w:t>
            </w:r>
            <w:r>
              <w:rPr>
                <w:i/>
              </w:rPr>
              <w:t>insert description</w:t>
            </w:r>
            <w:r>
              <w:rPr/>
              <w:t>]</w:t>
            </w:r>
          </w:p>
        </w:tc>
      </w:tr>
      <w:tr>
        <w:trPr/>
        <w:tc>
          <w:tcPr>
            <w:tcW w:w="2943" w:type="dxa"/>
            <w:tcBorders/>
          </w:tcPr>
          <w:p>
            <w:pPr>
              <w:pStyle w:val="Normal"/>
              <w:bidi w:val="0"/>
              <w:spacing w:before="120" w:after="120"/>
              <w:jc w:val="start"/>
              <w:rPr/>
            </w:pPr>
            <w:r>
              <w:rPr/>
              <w:t>[Reference Price:]</w:t>
            </w:r>
          </w:p>
        </w:tc>
        <w:tc>
          <w:tcPr>
            <w:tcW w:w="7087" w:type="dxa"/>
            <w:tcBorders/>
          </w:tcPr>
          <w:p>
            <w:pPr>
              <w:pStyle w:val="Normal"/>
              <w:bidi w:val="0"/>
              <w:spacing w:before="120" w:after="120"/>
              <w:jc w:val="start"/>
              <w:rPr/>
            </w:pPr>
            <w:r>
              <w:rPr/>
              <w:t>[                                                      ]</w:t>
            </w:r>
          </w:p>
        </w:tc>
      </w:tr>
      <w:tr>
        <w:trPr/>
        <w:tc>
          <w:tcPr>
            <w:tcW w:w="2943" w:type="dxa"/>
            <w:tcBorders/>
          </w:tcPr>
          <w:p>
            <w:pPr>
              <w:pStyle w:val="Normal"/>
              <w:bidi w:val="0"/>
              <w:spacing w:before="120" w:after="120"/>
              <w:jc w:val="start"/>
              <w:rPr/>
            </w:pPr>
            <w:r>
              <w:rPr/>
              <w:t>2.    Buyer Payments</w:t>
            </w:r>
          </w:p>
        </w:tc>
        <w:tc>
          <w:tcPr>
            <w:tcW w:w="7087" w:type="dxa"/>
            <w:tcBorders/>
          </w:tcPr>
          <w:p>
            <w:pPr>
              <w:pStyle w:val="Normal"/>
              <w:bidi w:val="0"/>
              <w:spacing w:before="120" w:after="120"/>
              <w:jc w:val="start"/>
              <w:rPr/>
            </w:pPr>
            <w:r>
              <w:rPr/>
            </w:r>
          </w:p>
        </w:tc>
      </w:tr>
      <w:tr>
        <w:trPr/>
        <w:tc>
          <w:tcPr>
            <w:tcW w:w="2943" w:type="dxa"/>
            <w:tcBorders/>
          </w:tcPr>
          <w:p>
            <w:pPr>
              <w:pStyle w:val="Normal"/>
              <w:bidi w:val="0"/>
              <w:spacing w:before="120" w:after="120"/>
              <w:jc w:val="start"/>
              <w:rPr/>
            </w:pPr>
            <w:r>
              <w:rPr/>
              <w:t>Buyer Payment:</w:t>
            </w:r>
          </w:p>
        </w:tc>
        <w:tc>
          <w:tcPr>
            <w:tcW w:w="7087" w:type="dxa"/>
            <w:tcBorders/>
          </w:tcPr>
          <w:p>
            <w:pPr>
              <w:pStyle w:val="Normal"/>
              <w:bidi w:val="0"/>
              <w:spacing w:before="120" w:after="120"/>
              <w:jc w:val="start"/>
              <w:rPr/>
            </w:pPr>
            <w:r>
              <w:rPr/>
              <w:t>[                                                        ] (“BP”) payable on each Buyer Payment Date except if the Effective Date is not a Quarter Day,</w:t>
            </w:r>
          </w:p>
          <w:p>
            <w:pPr>
              <w:pStyle w:val="Normal"/>
              <w:bidi w:val="0"/>
              <w:spacing w:before="120" w:after="120"/>
              <w:ind w:hanging="709" w:start="709"/>
              <w:jc w:val="start"/>
              <w:rPr/>
            </w:pPr>
            <w:r>
              <w:rPr/>
              <w:t>(i)</w:t>
              <w:tab/>
              <w:t>in the case of the first Buyer Payment Date, a sum equal to:</w:t>
            </w:r>
          </w:p>
          <w:p>
            <w:pPr>
              <w:pStyle w:val="Normal"/>
              <w:bidi w:val="0"/>
              <w:spacing w:before="120" w:after="120"/>
              <w:ind w:hanging="709" w:start="709"/>
              <w:jc w:val="start"/>
              <w:rPr/>
            </w:pPr>
            <w:r>
              <w:rPr/>
              <w:tab/>
              <w:t>BP x A/B where</w:t>
            </w:r>
          </w:p>
          <w:p>
            <w:pPr>
              <w:pStyle w:val="Normal"/>
              <w:bidi w:val="0"/>
              <w:spacing w:before="120" w:after="120"/>
              <w:ind w:hanging="709" w:start="709"/>
              <w:jc w:val="start"/>
              <w:rPr/>
            </w:pPr>
            <w:r>
              <w:rPr/>
              <w:tab/>
              <w:t>A = number of days from (and including) the Effective Date to (but excluding) the first Buyer Payment Date.</w:t>
            </w:r>
          </w:p>
          <w:p>
            <w:pPr>
              <w:pStyle w:val="Normal"/>
              <w:bidi w:val="0"/>
              <w:spacing w:before="120" w:after="120"/>
              <w:ind w:hanging="709" w:start="709"/>
              <w:jc w:val="start"/>
              <w:rPr/>
            </w:pPr>
            <w:r>
              <w:rPr/>
              <w:tab/>
              <w:t>B = number of days from (and including) the Quarter Day immediately preceding the Effective Date to (but excluding) the first Buyer Payment Date.</w:t>
            </w:r>
          </w:p>
          <w:p>
            <w:pPr>
              <w:pStyle w:val="Normal"/>
              <w:bidi w:val="0"/>
              <w:spacing w:before="120" w:after="120"/>
              <w:ind w:hanging="709" w:start="709"/>
              <w:jc w:val="start"/>
              <w:rPr/>
            </w:pPr>
            <w:r>
              <w:rPr/>
              <w:t>(ii)</w:t>
              <w:tab/>
              <w:t>in the case of the last Buyer Payment Date, a sum equal to:</w:t>
            </w:r>
          </w:p>
          <w:p>
            <w:pPr>
              <w:pStyle w:val="Normal"/>
              <w:bidi w:val="0"/>
              <w:spacing w:before="120" w:after="120"/>
              <w:ind w:hanging="709" w:start="709"/>
              <w:jc w:val="start"/>
              <w:rPr/>
            </w:pPr>
            <w:r>
              <w:rPr/>
              <w:tab/>
              <w:t>BP x C/D where</w:t>
            </w:r>
          </w:p>
          <w:p>
            <w:pPr>
              <w:pStyle w:val="Normal"/>
              <w:bidi w:val="0"/>
              <w:spacing w:before="120" w:after="120"/>
              <w:ind w:hanging="709" w:start="709"/>
              <w:jc w:val="start"/>
              <w:rPr/>
            </w:pPr>
            <w:r>
              <w:rPr/>
              <w:tab/>
              <w:t>C = number of days from (and including) the immediately preceding Buyer Payment Date to (but excluding) the Scheduled Termination Date.</w:t>
            </w:r>
          </w:p>
          <w:p>
            <w:pPr>
              <w:pStyle w:val="Normal"/>
              <w:bidi w:val="0"/>
              <w:spacing w:before="120" w:after="120"/>
              <w:ind w:hanging="709" w:start="709"/>
              <w:jc w:val="start"/>
              <w:rPr/>
            </w:pPr>
            <w:r>
              <w:rPr/>
              <w:tab/>
              <w:t>D = number of days from (and including) the immediately preceding Buyer Payment Date to (but excluding) the Quarter Day immediately following the Scheduled Termination Date.</w:t>
            </w:r>
          </w:p>
        </w:tc>
      </w:tr>
      <w:tr>
        <w:trPr/>
        <w:tc>
          <w:tcPr>
            <w:tcW w:w="2943" w:type="dxa"/>
            <w:tcBorders/>
          </w:tcPr>
          <w:p>
            <w:pPr>
              <w:pStyle w:val="Normal"/>
              <w:bidi w:val="0"/>
              <w:spacing w:before="120" w:after="120"/>
              <w:jc w:val="start"/>
              <w:rPr/>
            </w:pPr>
            <w:r>
              <w:rPr/>
              <w:t>Buyer Payment Date:</w:t>
            </w:r>
          </w:p>
        </w:tc>
        <w:tc>
          <w:tcPr>
            <w:tcW w:w="7087" w:type="dxa"/>
            <w:tcBorders/>
          </w:tcPr>
          <w:p>
            <w:pPr>
              <w:pStyle w:val="Normal"/>
              <w:bidi w:val="0"/>
              <w:spacing w:before="120" w:after="120"/>
              <w:ind w:hanging="709" w:start="709"/>
              <w:jc w:val="start"/>
              <w:rPr/>
            </w:pPr>
            <w:r>
              <w:rPr/>
              <w:t>(i)</w:t>
              <w:tab/>
              <w:t>In respect of the first payment, the first Quarter Day falling after the Effective Date.</w:t>
            </w:r>
          </w:p>
          <w:p>
            <w:pPr>
              <w:pStyle w:val="Normal"/>
              <w:tabs>
                <w:tab w:val="clear" w:pos="720"/>
                <w:tab w:val="left" w:pos="742" w:leader="none"/>
              </w:tabs>
              <w:bidi w:val="0"/>
              <w:spacing w:before="120" w:after="120"/>
              <w:ind w:hanging="742" w:start="742"/>
              <w:jc w:val="start"/>
              <w:rPr/>
            </w:pPr>
            <w:r>
              <w:rPr/>
              <w:t>(ii)</w:t>
              <w:tab/>
              <w:t>In respect of the second and each subsequent payment, each Quarter Day falling before the Scheduled Termination Date.</w:t>
            </w:r>
          </w:p>
          <w:p>
            <w:pPr>
              <w:pStyle w:val="Normal"/>
              <w:tabs>
                <w:tab w:val="clear" w:pos="720"/>
                <w:tab w:val="left" w:pos="742" w:leader="none"/>
              </w:tabs>
              <w:bidi w:val="0"/>
              <w:spacing w:before="120" w:after="120"/>
              <w:ind w:hanging="742" w:start="742"/>
              <w:jc w:val="start"/>
              <w:rPr/>
            </w:pPr>
            <w:r>
              <w:rPr/>
              <w:t>(iii)</w:t>
              <w:tab/>
              <w:t>In respect of the final payment, the Scheduled Termination Date.</w:t>
            </w:r>
          </w:p>
          <w:p>
            <w:pPr>
              <w:pStyle w:val="Normal"/>
              <w:tabs>
                <w:tab w:val="clear" w:pos="720"/>
                <w:tab w:val="left" w:pos="742" w:leader="none"/>
              </w:tabs>
              <w:bidi w:val="0"/>
              <w:spacing w:before="120" w:after="120"/>
              <w:jc w:val="start"/>
              <w:rPr/>
            </w:pPr>
            <w:r>
              <w:rPr/>
              <w:t>Provided that the obligation of the Buyer to make Buyer Payments shall terminate on delivery by either party to the other of a valid Bankruptcy Event Notice and Notice of Publicly Available Information (save that the obligation to make Buyer Payments which become due and payable prior to such termination shall not be affected).</w:t>
            </w:r>
          </w:p>
        </w:tc>
      </w:tr>
      <w:tr>
        <w:trPr/>
        <w:tc>
          <w:tcPr>
            <w:tcW w:w="2943" w:type="dxa"/>
            <w:tcBorders/>
          </w:tcPr>
          <w:p>
            <w:pPr>
              <w:pStyle w:val="Normal"/>
              <w:bidi w:val="0"/>
              <w:spacing w:before="120" w:after="120"/>
              <w:jc w:val="start"/>
              <w:rPr/>
            </w:pPr>
            <w:r>
              <w:rPr/>
              <w:t>3.    Seller Payments</w:t>
            </w:r>
          </w:p>
        </w:tc>
        <w:tc>
          <w:tcPr>
            <w:tcW w:w="7087" w:type="dxa"/>
            <w:tcBorders/>
          </w:tcPr>
          <w:p>
            <w:pPr>
              <w:pStyle w:val="Normal"/>
              <w:tabs>
                <w:tab w:val="clear" w:pos="720"/>
                <w:tab w:val="left" w:pos="742" w:leader="none"/>
              </w:tabs>
              <w:bidi w:val="0"/>
              <w:spacing w:before="120" w:after="120"/>
              <w:jc w:val="start"/>
              <w:rPr/>
            </w:pPr>
            <w:r>
              <w:rPr/>
            </w:r>
          </w:p>
        </w:tc>
      </w:tr>
      <w:tr>
        <w:trPr/>
        <w:tc>
          <w:tcPr>
            <w:tcW w:w="2943" w:type="dxa"/>
            <w:tcBorders/>
          </w:tcPr>
          <w:p>
            <w:pPr>
              <w:pStyle w:val="Normal"/>
              <w:bidi w:val="0"/>
              <w:spacing w:before="120" w:after="120"/>
              <w:jc w:val="start"/>
              <w:rPr/>
            </w:pPr>
            <w:r>
              <w:rPr/>
              <w:t>Seller Payment:</w:t>
            </w:r>
          </w:p>
        </w:tc>
        <w:tc>
          <w:tcPr>
            <w:tcW w:w="7087" w:type="dxa"/>
            <w:tcBorders/>
          </w:tcPr>
          <w:p>
            <w:pPr>
              <w:pStyle w:val="Normal"/>
              <w:tabs>
                <w:tab w:val="clear" w:pos="720"/>
                <w:tab w:val="left" w:pos="175" w:leader="none"/>
              </w:tabs>
              <w:bidi w:val="0"/>
              <w:spacing w:before="120" w:after="120"/>
              <w:jc w:val="start"/>
              <w:rPr/>
            </w:pPr>
            <w:r>
              <w:rPr/>
              <w:t>[                                                                                                  ] payable on the Seller Payment Date.</w:t>
            </w:r>
          </w:p>
        </w:tc>
      </w:tr>
      <w:tr>
        <w:trPr/>
        <w:tc>
          <w:tcPr>
            <w:tcW w:w="2943" w:type="dxa"/>
            <w:tcBorders/>
          </w:tcPr>
          <w:p>
            <w:pPr>
              <w:pStyle w:val="Normal"/>
              <w:bidi w:val="0"/>
              <w:spacing w:before="120" w:after="120"/>
              <w:jc w:val="start"/>
              <w:rPr/>
            </w:pPr>
            <w:r>
              <w:rPr/>
              <w:t>Seller Payment Date:</w:t>
            </w:r>
          </w:p>
        </w:tc>
        <w:tc>
          <w:tcPr>
            <w:tcW w:w="7087" w:type="dxa"/>
            <w:tcBorders/>
          </w:tcPr>
          <w:p>
            <w:pPr>
              <w:pStyle w:val="Normal"/>
              <w:tabs>
                <w:tab w:val="clear" w:pos="720"/>
                <w:tab w:val="left" w:pos="0" w:leader="none"/>
              </w:tabs>
              <w:bidi w:val="0"/>
              <w:spacing w:before="120" w:after="120"/>
              <w:ind w:hanging="34" w:start="34"/>
              <w:jc w:val="start"/>
              <w:rPr/>
            </w:pPr>
            <w:r>
              <w:rPr/>
              <w:t>The date falling five Business Days after the date on which a valid Bankruptcy Event Notice and a Notice of Publicly Available Information is delivered by one party to the other.</w:t>
            </w:r>
          </w:p>
        </w:tc>
      </w:tr>
      <w:tr>
        <w:trPr/>
        <w:tc>
          <w:tcPr>
            <w:tcW w:w="2943" w:type="dxa"/>
            <w:tcBorders/>
          </w:tcPr>
          <w:p>
            <w:pPr>
              <w:pStyle w:val="Normal"/>
              <w:bidi w:val="0"/>
              <w:spacing w:before="120" w:after="120"/>
              <w:jc w:val="start"/>
              <w:rPr/>
            </w:pPr>
            <w:r>
              <w:rPr/>
              <w:t>Conditions to Seller Payment:</w:t>
            </w:r>
          </w:p>
        </w:tc>
        <w:tc>
          <w:tcPr>
            <w:tcW w:w="7087" w:type="dxa"/>
            <w:tcBorders/>
          </w:tcPr>
          <w:p>
            <w:pPr>
              <w:pStyle w:val="Normal"/>
              <w:tabs>
                <w:tab w:val="clear" w:pos="720"/>
                <w:tab w:val="left" w:pos="0" w:leader="none"/>
              </w:tabs>
              <w:bidi w:val="0"/>
              <w:spacing w:before="120" w:after="120"/>
              <w:ind w:hanging="34" w:start="34"/>
              <w:jc w:val="start"/>
              <w:rPr/>
            </w:pPr>
            <w:r>
              <w:rPr/>
              <w:t>The obligation of the Seller to pay the Seller Payment is conditional upon:</w:t>
            </w:r>
          </w:p>
          <w:p>
            <w:pPr>
              <w:pStyle w:val="Normal"/>
              <w:tabs>
                <w:tab w:val="clear" w:pos="720"/>
                <w:tab w:val="left" w:pos="0" w:leader="none"/>
              </w:tabs>
              <w:bidi w:val="0"/>
              <w:spacing w:before="120" w:after="120"/>
              <w:ind w:hanging="742" w:start="742"/>
              <w:jc w:val="start"/>
              <w:rPr/>
            </w:pPr>
            <w:r>
              <w:rPr/>
              <w:t>(i)</w:t>
              <w:tab/>
              <w:t xml:space="preserve">the occurrence of a Bankruptcy Event in respect of the Reference Entity on or after the Effective Date and before the Scheduled Termination Date; and </w:t>
            </w:r>
          </w:p>
          <w:p>
            <w:pPr>
              <w:pStyle w:val="Normal"/>
              <w:tabs>
                <w:tab w:val="clear" w:pos="720"/>
                <w:tab w:val="left" w:pos="0" w:leader="none"/>
              </w:tabs>
              <w:bidi w:val="0"/>
              <w:spacing w:before="120" w:after="120"/>
              <w:ind w:hanging="742" w:start="742"/>
              <w:jc w:val="start"/>
              <w:rPr/>
            </w:pPr>
            <w:r>
              <w:rPr/>
              <w:t>(ii)</w:t>
              <w:tab/>
              <w:t>the delivery by one party to the other of a valid Bankruptcy Event Notice and Notice of Publicly Available Information on or before the date falling fourteen calendar days after the Scheduled Termination Date; and</w:t>
            </w:r>
          </w:p>
          <w:p>
            <w:pPr>
              <w:pStyle w:val="Normal"/>
              <w:tabs>
                <w:tab w:val="clear" w:pos="720"/>
                <w:tab w:val="left" w:pos="0" w:leader="none"/>
              </w:tabs>
              <w:bidi w:val="0"/>
              <w:spacing w:before="120" w:after="120"/>
              <w:ind w:hanging="742" w:start="742"/>
              <w:jc w:val="start"/>
              <w:rPr/>
            </w:pPr>
            <w:r>
              <w:rPr/>
              <w:t>(ii)</w:t>
              <w:tab/>
              <w:t>the Calculation Agent determining that the Bankruptcy Event Notice and the Notice of Publicly Available Information are valid.</w:t>
            </w:r>
          </w:p>
          <w:p>
            <w:pPr>
              <w:pStyle w:val="Normal"/>
              <w:tabs>
                <w:tab w:val="clear" w:pos="720"/>
                <w:tab w:val="left" w:pos="0" w:leader="none"/>
              </w:tabs>
              <w:bidi w:val="0"/>
              <w:spacing w:before="120" w:after="120"/>
              <w:ind w:hanging="34" w:start="34"/>
              <w:jc w:val="start"/>
              <w:rPr/>
            </w:pPr>
            <w:r>
              <w:rPr/>
              <w:t>Only one valid Bankruptcy Event Notice and Notice of Publicly Available Information may be delivered and such notices may be delivered by the Seller or the Buyer.    Each party agrees that the determination of the Calculation Agent as to the validity of any such notice shall, in the absence of manifest error, be final.</w:t>
            </w:r>
          </w:p>
        </w:tc>
      </w:tr>
      <w:tr>
        <w:trPr/>
        <w:tc>
          <w:tcPr>
            <w:tcW w:w="2943" w:type="dxa"/>
            <w:tcBorders/>
          </w:tcPr>
          <w:p>
            <w:pPr>
              <w:pStyle w:val="Normal"/>
              <w:bidi w:val="0"/>
              <w:spacing w:before="120" w:after="120"/>
              <w:jc w:val="start"/>
              <w:rPr/>
            </w:pPr>
            <w:r>
              <w:rPr/>
              <w:t>4.    Notice and Account Details</w:t>
            </w:r>
          </w:p>
        </w:tc>
        <w:tc>
          <w:tcPr>
            <w:tcW w:w="7087" w:type="dxa"/>
            <w:tcBorders/>
          </w:tcPr>
          <w:p>
            <w:pPr>
              <w:pStyle w:val="Normal"/>
              <w:tabs>
                <w:tab w:val="clear" w:pos="720"/>
                <w:tab w:val="left" w:pos="0" w:leader="none"/>
              </w:tabs>
              <w:bidi w:val="0"/>
              <w:spacing w:before="120" w:after="120"/>
              <w:ind w:hanging="34" w:start="34"/>
              <w:jc w:val="start"/>
              <w:rPr/>
            </w:pPr>
            <w:r>
              <w:rPr/>
            </w:r>
          </w:p>
        </w:tc>
      </w:tr>
      <w:tr>
        <w:trPr/>
        <w:tc>
          <w:tcPr>
            <w:tcW w:w="2943" w:type="dxa"/>
            <w:tcBorders/>
          </w:tcPr>
          <w:p>
            <w:pPr>
              <w:pStyle w:val="Normal"/>
              <w:bidi w:val="0"/>
              <w:spacing w:before="120" w:after="120"/>
              <w:jc w:val="start"/>
              <w:rPr/>
            </w:pPr>
            <w:r>
              <w:rPr/>
              <w:t>Telephone, Telex and/or Facsimile Numbers and Contact Details for Notices:</w:t>
            </w:r>
          </w:p>
        </w:tc>
        <w:tc>
          <w:tcPr>
            <w:tcW w:w="7087" w:type="dxa"/>
            <w:tcBorders/>
          </w:tcPr>
          <w:p>
            <w:pPr>
              <w:pStyle w:val="Normal"/>
              <w:tabs>
                <w:tab w:val="clear" w:pos="720"/>
                <w:tab w:val="left" w:pos="0" w:leader="none"/>
              </w:tabs>
              <w:bidi w:val="0"/>
              <w:spacing w:before="120" w:after="120"/>
              <w:ind w:hanging="34" w:start="34"/>
              <w:jc w:val="start"/>
              <w:rPr/>
            </w:pPr>
            <w:r>
              <w:rPr/>
              <w:t>Party A: [                                                                  ]</w:t>
            </w:r>
          </w:p>
          <w:p>
            <w:pPr>
              <w:pStyle w:val="Normal"/>
              <w:tabs>
                <w:tab w:val="clear" w:pos="720"/>
                <w:tab w:val="left" w:pos="0" w:leader="none"/>
              </w:tabs>
              <w:bidi w:val="0"/>
              <w:spacing w:before="120" w:after="120"/>
              <w:ind w:hanging="34" w:start="34"/>
              <w:jc w:val="start"/>
              <w:rPr/>
            </w:pPr>
            <w:r>
              <w:rPr/>
              <w:t>Party B:    [                                                                ]</w:t>
            </w:r>
          </w:p>
        </w:tc>
      </w:tr>
      <w:tr>
        <w:trPr/>
        <w:tc>
          <w:tcPr>
            <w:tcW w:w="2943" w:type="dxa"/>
            <w:tcBorders/>
          </w:tcPr>
          <w:p>
            <w:pPr>
              <w:pStyle w:val="Normal"/>
              <w:bidi w:val="0"/>
              <w:spacing w:before="120" w:after="120"/>
              <w:jc w:val="start"/>
              <w:rPr/>
            </w:pPr>
            <w:r>
              <w:rPr/>
              <w:t>Account Details:</w:t>
            </w:r>
          </w:p>
        </w:tc>
        <w:tc>
          <w:tcPr>
            <w:tcW w:w="7087" w:type="dxa"/>
            <w:tcBorders/>
          </w:tcPr>
          <w:p>
            <w:pPr>
              <w:pStyle w:val="Normal"/>
              <w:tabs>
                <w:tab w:val="clear" w:pos="720"/>
                <w:tab w:val="left" w:pos="0" w:leader="none"/>
              </w:tabs>
              <w:bidi w:val="0"/>
              <w:spacing w:before="120" w:after="120"/>
              <w:ind w:hanging="34" w:start="34"/>
              <w:jc w:val="start"/>
              <w:rPr/>
            </w:pPr>
            <w:r>
              <w:rPr/>
              <w:t>Party A: [                                                                            ]</w:t>
            </w:r>
          </w:p>
          <w:p>
            <w:pPr>
              <w:pStyle w:val="Normal"/>
              <w:tabs>
                <w:tab w:val="clear" w:pos="720"/>
                <w:tab w:val="left" w:pos="0" w:leader="none"/>
              </w:tabs>
              <w:bidi w:val="0"/>
              <w:spacing w:before="120" w:after="120"/>
              <w:ind w:hanging="34" w:start="34"/>
              <w:jc w:val="start"/>
              <w:rPr/>
            </w:pPr>
            <w:r>
              <w:rPr/>
              <w:t>Party B:    [                                                                          ]</w:t>
            </w:r>
          </w:p>
        </w:tc>
      </w:tr>
      <w:tr>
        <w:trPr/>
        <w:tc>
          <w:tcPr>
            <w:tcW w:w="2943" w:type="dxa"/>
            <w:tcBorders/>
          </w:tcPr>
          <w:p>
            <w:pPr>
              <w:pStyle w:val="Normal"/>
              <w:bidi w:val="0"/>
              <w:spacing w:before="120" w:after="120"/>
              <w:jc w:val="start"/>
              <w:rPr/>
            </w:pPr>
            <w:r>
              <w:rPr/>
              <w:t>5.    Other Terms</w:t>
            </w:r>
          </w:p>
        </w:tc>
        <w:tc>
          <w:tcPr>
            <w:tcW w:w="7087" w:type="dxa"/>
            <w:tcBorders/>
          </w:tcPr>
          <w:p>
            <w:pPr>
              <w:pStyle w:val="Normal"/>
              <w:tabs>
                <w:tab w:val="clear" w:pos="720"/>
                <w:tab w:val="left" w:pos="0" w:leader="none"/>
              </w:tabs>
              <w:bidi w:val="0"/>
              <w:spacing w:before="120" w:after="120"/>
              <w:ind w:hanging="34" w:start="34"/>
              <w:jc w:val="start"/>
              <w:rPr/>
            </w:pPr>
            <w:r>
              <w:rPr/>
            </w:r>
          </w:p>
        </w:tc>
      </w:tr>
      <w:tr>
        <w:trPr/>
        <w:tc>
          <w:tcPr>
            <w:tcW w:w="2943" w:type="dxa"/>
            <w:tcBorders/>
          </w:tcPr>
          <w:p>
            <w:pPr>
              <w:pStyle w:val="Normal"/>
              <w:bidi w:val="0"/>
              <w:spacing w:before="120" w:after="120"/>
              <w:jc w:val="start"/>
              <w:rPr/>
            </w:pPr>
            <w:r>
              <w:rPr/>
              <w:t>Additional Representations and Warranties:</w:t>
            </w:r>
          </w:p>
        </w:tc>
        <w:tc>
          <w:tcPr>
            <w:tcW w:w="7087" w:type="dxa"/>
            <w:tcBorders/>
          </w:tcPr>
          <w:p>
            <w:pPr>
              <w:pStyle w:val="Normal"/>
              <w:tabs>
                <w:tab w:val="clear" w:pos="720"/>
                <w:tab w:val="left" w:pos="0" w:leader="none"/>
                <w:tab w:val="left" w:pos="34" w:leader="none"/>
              </w:tabs>
              <w:bidi w:val="0"/>
              <w:spacing w:before="120" w:after="120"/>
              <w:jc w:val="start"/>
              <w:rPr/>
            </w:pPr>
            <w:r>
              <w:rPr/>
              <w:t xml:space="preserve">[Party A and Party B each represent and warrant to each other that as at the Trade Date it is an “accredited investor” as such term is defined in Rule 501 of Regulation D of the United States Securities and Exchange Commission.] </w:t>
            </w:r>
          </w:p>
        </w:tc>
      </w:tr>
      <w:tr>
        <w:trPr/>
        <w:tc>
          <w:tcPr>
            <w:tcW w:w="2943" w:type="dxa"/>
            <w:tcBorders/>
          </w:tcPr>
          <w:p>
            <w:pPr>
              <w:pStyle w:val="Normal"/>
              <w:bidi w:val="0"/>
              <w:spacing w:before="120" w:after="120"/>
              <w:jc w:val="start"/>
              <w:rPr/>
            </w:pPr>
            <w:r>
              <w:rPr/>
              <w:t>Party B confirmations:</w:t>
            </w:r>
          </w:p>
        </w:tc>
        <w:tc>
          <w:tcPr>
            <w:tcW w:w="7087" w:type="dxa"/>
            <w:tcBorders/>
          </w:tcPr>
          <w:p>
            <w:pPr>
              <w:pStyle w:val="Normal"/>
              <w:tabs>
                <w:tab w:val="clear" w:pos="720"/>
                <w:tab w:val="left" w:pos="0" w:leader="none"/>
              </w:tabs>
              <w:bidi w:val="0"/>
              <w:spacing w:before="120" w:after="120"/>
              <w:ind w:hanging="34" w:start="34"/>
              <w:jc w:val="start"/>
              <w:rPr/>
            </w:pPr>
            <w:r>
              <w:rPr/>
              <w:t>Party B acknowledges, agrees and understands that:</w:t>
            </w:r>
          </w:p>
          <w:p>
            <w:pPr>
              <w:pStyle w:val="Normal"/>
              <w:tabs>
                <w:tab w:val="clear" w:pos="720"/>
                <w:tab w:val="left" w:pos="0" w:leader="none"/>
                <w:tab w:val="left" w:pos="601" w:leader="none"/>
              </w:tabs>
              <w:bidi w:val="0"/>
              <w:spacing w:before="120" w:after="120"/>
              <w:ind w:hanging="601" w:start="601"/>
              <w:jc w:val="both"/>
              <w:rPr/>
            </w:pPr>
            <w:r>
              <w:rPr/>
              <w:t>(i)</w:t>
              <w:tab/>
              <w:t>Party A trades actively with the Reference Entity and    maintains other relationships with the Reference Entity.    As a result of these trading activities and relationships, Party A may have interests with respect to the Reference Entity that are adverse to the interests of Party B under this Transaction (or other transactions between the parties).    For example, it is possible that Party A will, by exercising its rights under its agreements with the Reference Entity, take actions that result in the occurrence of a Bankruptcy Event with respect to the Reference Entity.    If Party B enters into a transaction to sell a credit product relating to the Reference Entity, the occurrence of such Bankruptcy Event may trigger Party B’s obligation to pay under that transaction.    Party A expects to continue to conduct its trading activities and its relationships with the Reference Entity in the same manner as such activities and relationships are currently conducted and will act in its own best interests in connection with such relationships.    In doing so, Party A may or may not take into account the interests of Party B as counterparty to this Transaction (or other transactions between the parties) and Party A’s participation in this Transaction (or other transactions between the parties) may involve certain actual or potential conflicts of interest.</w:t>
            </w:r>
          </w:p>
          <w:p>
            <w:pPr>
              <w:pStyle w:val="Normal"/>
              <w:tabs>
                <w:tab w:val="clear" w:pos="720"/>
                <w:tab w:val="left" w:pos="0" w:leader="none"/>
                <w:tab w:val="left" w:pos="601" w:leader="none"/>
              </w:tabs>
              <w:bidi w:val="0"/>
              <w:spacing w:before="120" w:after="120"/>
              <w:ind w:hanging="601" w:start="601"/>
              <w:jc w:val="both"/>
              <w:rPr/>
            </w:pPr>
            <w:r>
              <w:rPr/>
              <w:t>(ii)</w:t>
              <w:tab/>
              <w:t>As a result of its relationships with the Reference Entities, Party A may routinely receive information regarding the creditworthiness of the Reference Entities.    Party A may, but will not be obliged to, take such information into account in determining the price or other payments under this Transaction (or other transactions between the parties).    In addition, Party A will not provide any such information to Party B.    Party A may, however, use such information in connection with its own activities regarding the Reference Entity.    Any such use by Party A could adversely affect Party B under this Transaction (or other transactions between the parties).</w:t>
            </w:r>
          </w:p>
        </w:tc>
      </w:tr>
      <w:tr>
        <w:trPr/>
        <w:tc>
          <w:tcPr>
            <w:tcW w:w="2943" w:type="dxa"/>
            <w:tcBorders/>
          </w:tcPr>
          <w:p>
            <w:pPr>
              <w:pStyle w:val="Normal"/>
              <w:bidi w:val="0"/>
              <w:spacing w:before="120" w:after="120"/>
              <w:jc w:val="start"/>
              <w:rPr/>
            </w:pPr>
            <w:r>
              <w:rPr/>
            </w:r>
          </w:p>
        </w:tc>
        <w:tc>
          <w:tcPr>
            <w:tcW w:w="7087" w:type="dxa"/>
            <w:tcBorders/>
          </w:tcPr>
          <w:p>
            <w:pPr>
              <w:pStyle w:val="Normal"/>
              <w:tabs>
                <w:tab w:val="clear" w:pos="720"/>
                <w:tab w:val="left" w:pos="0" w:leader="none"/>
                <w:tab w:val="left" w:pos="601" w:leader="none"/>
              </w:tabs>
              <w:bidi w:val="0"/>
              <w:spacing w:before="120" w:after="120"/>
              <w:ind w:hanging="601" w:start="601"/>
              <w:jc w:val="both"/>
              <w:rPr/>
            </w:pPr>
            <w:r>
              <w:rPr/>
              <w:t>(iii)</w:t>
              <w:tab/>
              <w:t>Party A may, for any reason, temporarily or permanently cease providing quotations for the Reference Entity without prior notice to Party B.    Without limitation of the foregoing, such action might be taken if Party A believes it to be required or warranted under applicable laws or regulations or Party A’s internal policies and procedures, due to market conditions or for other reasons.    Under such circumstances, Party B may be unable to enter into new transactions in credit products or close out existing positions in credit products.</w:t>
            </w:r>
          </w:p>
          <w:p>
            <w:pPr>
              <w:pStyle w:val="Normal"/>
              <w:tabs>
                <w:tab w:val="clear" w:pos="720"/>
                <w:tab w:val="left" w:pos="0" w:leader="none"/>
                <w:tab w:val="left" w:pos="601" w:leader="none"/>
              </w:tabs>
              <w:bidi w:val="0"/>
              <w:spacing w:before="120" w:after="120"/>
              <w:ind w:hanging="601" w:start="601"/>
              <w:jc w:val="both"/>
              <w:rPr/>
            </w:pPr>
            <w:r>
              <w:rPr/>
              <w:t>(iv)</w:t>
              <w:tab/>
              <w:t xml:space="preserve">Bid and offer prices for credit products quoted by Party A are quoted solely for the purpose of enabling Party B and other counterparties or Party A to trade such credit products, in accordance with the terms and conditions set forth in the Agreement and this Confirmation, and should not be used or relied upon for any other purpose including, but not limited to, valuation of positions or evaluation of the creditworthiness of the Reference Entity.    </w:t>
            </w:r>
          </w:p>
        </w:tc>
      </w:tr>
      <w:tr>
        <w:trPr/>
        <w:tc>
          <w:tcPr>
            <w:tcW w:w="2943" w:type="dxa"/>
            <w:tcBorders/>
          </w:tcPr>
          <w:p>
            <w:pPr>
              <w:pStyle w:val="Normal"/>
              <w:tabs>
                <w:tab w:val="clear" w:pos="720"/>
              </w:tabs>
              <w:bidi w:val="0"/>
              <w:spacing w:before="120" w:after="120"/>
              <w:jc w:val="start"/>
              <w:rPr/>
            </w:pPr>
            <w:r>
              <w:rPr/>
              <w:t>Termination of Transaction:</w:t>
            </w:r>
          </w:p>
        </w:tc>
        <w:tc>
          <w:tcPr>
            <w:tcW w:w="7087" w:type="dxa"/>
            <w:tcBorders/>
          </w:tcPr>
          <w:p>
            <w:pPr>
              <w:pStyle w:val="Normal"/>
              <w:tabs>
                <w:tab w:val="clear" w:pos="720"/>
                <w:tab w:val="left" w:pos="0" w:leader="none"/>
              </w:tabs>
              <w:bidi w:val="0"/>
              <w:spacing w:before="120" w:after="120"/>
              <w:ind w:hanging="34" w:start="34"/>
              <w:jc w:val="both"/>
              <w:rPr/>
            </w:pPr>
            <w:r>
              <w:rPr/>
              <w:t>Unless otherwise terminated, the obligations of the parties under this Confirmation and the Transaction the subject of this Confirmation shall terminate on the earlier of:</w:t>
            </w:r>
          </w:p>
          <w:p>
            <w:pPr>
              <w:pStyle w:val="Normal"/>
              <w:tabs>
                <w:tab w:val="clear" w:pos="720"/>
                <w:tab w:val="left" w:pos="0" w:leader="none"/>
                <w:tab w:val="left" w:pos="601" w:leader="none"/>
              </w:tabs>
              <w:bidi w:val="0"/>
              <w:spacing w:before="120" w:after="120"/>
              <w:ind w:hanging="601" w:start="601"/>
              <w:jc w:val="both"/>
              <w:rPr/>
            </w:pPr>
            <w:r>
              <w:rPr/>
              <w:t>(i)</w:t>
              <w:tab/>
              <w:t>the payment by the Seller to the Buyer of the Seller Payment;</w:t>
            </w:r>
          </w:p>
          <w:p>
            <w:pPr>
              <w:pStyle w:val="Normal"/>
              <w:tabs>
                <w:tab w:val="clear" w:pos="720"/>
                <w:tab w:val="left" w:pos="0" w:leader="none"/>
                <w:tab w:val="left" w:pos="601" w:leader="none"/>
              </w:tabs>
              <w:bidi w:val="0"/>
              <w:spacing w:before="120" w:after="120"/>
              <w:ind w:hanging="601" w:start="601"/>
              <w:jc w:val="both"/>
              <w:rPr/>
            </w:pPr>
            <w:r>
              <w:rPr/>
              <w:t>(ii)</w:t>
              <w:tab/>
              <w:t xml:space="preserve">if no Bankruptcy Event has occurred in respect of the Reference Entity before the Scheduled Termination Date, the Scheduled Termination Date; </w:t>
            </w:r>
          </w:p>
          <w:p>
            <w:pPr>
              <w:pStyle w:val="Normal"/>
              <w:tabs>
                <w:tab w:val="clear" w:pos="720"/>
                <w:tab w:val="left" w:pos="0" w:leader="none"/>
                <w:tab w:val="left" w:pos="601" w:leader="none"/>
              </w:tabs>
              <w:bidi w:val="0"/>
              <w:spacing w:before="120" w:after="120"/>
              <w:ind w:hanging="601" w:start="601"/>
              <w:jc w:val="both"/>
              <w:rPr/>
            </w:pPr>
            <w:r>
              <w:rPr/>
              <w:t>(iii)</w:t>
              <w:tab/>
              <w:t>if a Bankruptcy Event has occurred in respect of the Reference Entity on or after the Trade Date but before the Effective Date, on the occurrence of the Bankruptcy Event; and</w:t>
            </w:r>
          </w:p>
          <w:p>
            <w:pPr>
              <w:pStyle w:val="Normal"/>
              <w:tabs>
                <w:tab w:val="clear" w:pos="720"/>
                <w:tab w:val="left" w:pos="0" w:leader="none"/>
                <w:tab w:val="left" w:pos="601" w:leader="none"/>
              </w:tabs>
              <w:bidi w:val="0"/>
              <w:spacing w:before="120" w:after="120"/>
              <w:ind w:hanging="601" w:start="601"/>
              <w:jc w:val="both"/>
              <w:rPr/>
            </w:pPr>
            <w:r>
              <w:rPr/>
              <w:t>(iv)</w:t>
              <w:tab/>
              <w:t>if a Bankruptcy Event has occurred in respect of the Reference Entity after the Effective Date but before the Scheduled Termination Date, midnight on the date falling 14 days after the Scheduled Termination Date.</w:t>
            </w:r>
          </w:p>
          <w:p>
            <w:pPr>
              <w:pStyle w:val="Normal"/>
              <w:tabs>
                <w:tab w:val="clear" w:pos="720"/>
                <w:tab w:val="left" w:pos="0" w:leader="none"/>
              </w:tabs>
              <w:bidi w:val="0"/>
              <w:spacing w:before="120" w:after="120"/>
              <w:ind w:hanging="0" w:start="34"/>
              <w:jc w:val="both"/>
              <w:rPr/>
            </w:pPr>
            <w:r>
              <w:rPr/>
              <w:t>Termination shall not affect any rights, obligations or liabilities arising under this Confirmation or the Transaction the subject of this Confirmation prior to such termination.</w:t>
            </w:r>
          </w:p>
        </w:tc>
      </w:tr>
      <w:tr>
        <w:trPr/>
        <w:tc>
          <w:tcPr>
            <w:tcW w:w="2943" w:type="dxa"/>
            <w:tcBorders/>
          </w:tcPr>
          <w:p>
            <w:pPr>
              <w:pStyle w:val="Normal"/>
              <w:bidi w:val="0"/>
              <w:spacing w:before="120" w:after="120"/>
              <w:jc w:val="start"/>
              <w:rPr/>
            </w:pPr>
            <w:r>
              <w:rPr/>
              <w:t>Transaction Void:</w:t>
            </w:r>
          </w:p>
        </w:tc>
        <w:tc>
          <w:tcPr>
            <w:tcW w:w="7087" w:type="dxa"/>
            <w:tcBorders/>
          </w:tcPr>
          <w:p>
            <w:pPr>
              <w:pStyle w:val="Normal"/>
              <w:tabs>
                <w:tab w:val="clear" w:pos="720"/>
                <w:tab w:val="left" w:pos="0" w:leader="none"/>
              </w:tabs>
              <w:bidi w:val="0"/>
              <w:spacing w:before="120" w:after="120"/>
              <w:ind w:hanging="34" w:start="34"/>
              <w:jc w:val="both"/>
              <w:rPr/>
            </w:pPr>
            <w:r>
              <w:rPr/>
              <w:t>If a Bankruptcy Event in respect of the Reference Entity occurs before the Trade Date, this Confirmation and the Transaction the subject of this Confirmation shall be void.</w:t>
            </w:r>
          </w:p>
        </w:tc>
      </w:tr>
      <w:tr>
        <w:trPr/>
        <w:tc>
          <w:tcPr>
            <w:tcW w:w="2943" w:type="dxa"/>
            <w:tcBorders/>
          </w:tcPr>
          <w:p>
            <w:pPr>
              <w:pStyle w:val="Normal"/>
              <w:bidi w:val="0"/>
              <w:spacing w:before="120" w:after="120"/>
              <w:jc w:val="start"/>
              <w:rPr/>
            </w:pPr>
            <w:r>
              <w:rPr/>
              <w:t>Governing Law and Jurisdiction:</w:t>
            </w:r>
          </w:p>
        </w:tc>
        <w:tc>
          <w:tcPr>
            <w:tcW w:w="7087" w:type="dxa"/>
            <w:tcBorders/>
          </w:tcPr>
          <w:p>
            <w:pPr>
              <w:pStyle w:val="Normal"/>
              <w:tabs>
                <w:tab w:val="clear" w:pos="720"/>
                <w:tab w:val="left" w:pos="0" w:leader="none"/>
              </w:tabs>
              <w:bidi w:val="0"/>
              <w:spacing w:before="120" w:after="120"/>
              <w:ind w:hanging="34" w:start="34"/>
              <w:jc w:val="both"/>
              <w:rPr/>
            </w:pPr>
            <w:r>
              <w:rPr/>
              <w:t>This Confirmation shall be governed by, interpreted and construed in accordance with the laws of the Sate of New York (excluding conflicts of laws principles).    Any dispute relating to this Transaction shall be resolved by binding arbitration conducted in accordance with the Commercial Arbitration Rules of the American Arbitration Association (“AAA”) and governed by the Federal Arbitration Act (“FAA”).    Each party shall select one arbitrator within 30 days of a notice for arbitration and the arbitrators shall select a third neutral arbitrator with at least eight years professional experience in over-the-counter derivative transactions.    Only damages allowed pursuant to this Transaction may be awarded and the arbitrators shall have no authority to award treble, exemplary or punitive damages of any kind under any circumstances regardless of whether such damages may be available under the governing law for this Transaction and/or the FAA or AAA.    The arbitration shall be conducted in New York City, New York and any related award shall be confidential.</w:t>
            </w:r>
          </w:p>
        </w:tc>
      </w:tr>
      <w:tr>
        <w:trPr/>
        <w:tc>
          <w:tcPr>
            <w:tcW w:w="2943" w:type="dxa"/>
            <w:tcBorders/>
          </w:tcPr>
          <w:p>
            <w:pPr>
              <w:pStyle w:val="Normal"/>
              <w:bidi w:val="0"/>
              <w:spacing w:before="120" w:after="120"/>
              <w:jc w:val="start"/>
              <w:rPr/>
            </w:pPr>
            <w:r>
              <w:rPr/>
              <w:t>6.    Definitions</w:t>
            </w:r>
          </w:p>
        </w:tc>
        <w:tc>
          <w:tcPr>
            <w:tcW w:w="7087" w:type="dxa"/>
            <w:tcBorders/>
          </w:tcPr>
          <w:p>
            <w:pPr>
              <w:pStyle w:val="Normal"/>
              <w:tabs>
                <w:tab w:val="clear" w:pos="720"/>
                <w:tab w:val="left" w:pos="0" w:leader="none"/>
              </w:tabs>
              <w:bidi w:val="0"/>
              <w:spacing w:before="120" w:after="120"/>
              <w:ind w:hanging="34" w:start="34"/>
              <w:jc w:val="start"/>
              <w:rPr/>
            </w:pPr>
            <w:r>
              <w:rPr/>
            </w:r>
          </w:p>
        </w:tc>
      </w:tr>
      <w:tr>
        <w:trPr/>
        <w:tc>
          <w:tcPr>
            <w:tcW w:w="2943" w:type="dxa"/>
            <w:tcBorders/>
          </w:tcPr>
          <w:p>
            <w:pPr>
              <w:pStyle w:val="Normal"/>
              <w:bidi w:val="0"/>
              <w:spacing w:before="120" w:after="120"/>
              <w:jc w:val="start"/>
              <w:rPr>
                <w:i/>
                <w:i/>
              </w:rPr>
            </w:pPr>
            <w:r>
              <w:rPr>
                <w:i/>
              </w:rPr>
            </w:r>
          </w:p>
        </w:tc>
        <w:tc>
          <w:tcPr>
            <w:tcW w:w="7087" w:type="dxa"/>
            <w:tcBorders/>
          </w:tcPr>
          <w:p>
            <w:pPr>
              <w:pStyle w:val="Normal"/>
              <w:tabs>
                <w:tab w:val="clear" w:pos="720"/>
                <w:tab w:val="left" w:pos="0" w:leader="none"/>
                <w:tab w:val="left" w:pos="601" w:leader="none"/>
              </w:tabs>
              <w:bidi w:val="0"/>
              <w:spacing w:before="120" w:after="120"/>
              <w:ind w:hanging="601" w:start="601"/>
              <w:jc w:val="both"/>
              <w:rPr/>
            </w:pPr>
            <w:r>
              <w:rPr/>
              <w:t>(i)</w:t>
              <w:tab/>
              <w:t>the Reference Entity is dissolved (other than pursuant to a consolidation, amalgamation or merger;</w:t>
            </w:r>
          </w:p>
          <w:p>
            <w:pPr>
              <w:pStyle w:val="Normal"/>
              <w:tabs>
                <w:tab w:val="clear" w:pos="720"/>
                <w:tab w:val="left" w:pos="0" w:leader="none"/>
                <w:tab w:val="left" w:pos="601" w:leader="none"/>
              </w:tabs>
              <w:bidi w:val="0"/>
              <w:spacing w:before="120" w:after="120"/>
              <w:ind w:hanging="601" w:start="601"/>
              <w:jc w:val="both"/>
              <w:rPr/>
            </w:pPr>
            <w:r>
              <w:rPr/>
              <w:t>(ii)</w:t>
              <w:tab/>
              <w:t xml:space="preserve">the Reference Entity makes a general assignment, arrangement or composition with or for the benefit of its creditors; </w:t>
            </w:r>
          </w:p>
          <w:p>
            <w:pPr>
              <w:pStyle w:val="Normal"/>
              <w:tabs>
                <w:tab w:val="clear" w:pos="720"/>
                <w:tab w:val="left" w:pos="0" w:leader="none"/>
                <w:tab w:val="left" w:pos="601" w:leader="none"/>
              </w:tabs>
              <w:bidi w:val="0"/>
              <w:spacing w:before="120" w:after="120"/>
              <w:ind w:hanging="601" w:start="601"/>
              <w:jc w:val="both"/>
              <w:rPr/>
            </w:pPr>
            <w:r>
              <w:rPr/>
              <w:t>(iii)</w:t>
              <w:tab/>
              <w:t>the Reference Entity institutes with respect to itself or has instituted against it a proceeding seeking a judgment of insolvency or bankruptcy or any other relief under any bankruptcy or insolvency law or other similar law affecting creditors’ rights, or a petition is presented for its winding-up or liquidation, and, in the case of any such proceeding or petition instituted or presented against, such proceeding or petition:</w:t>
            </w:r>
          </w:p>
          <w:p>
            <w:pPr>
              <w:pStyle w:val="Normal"/>
              <w:tabs>
                <w:tab w:val="clear" w:pos="720"/>
                <w:tab w:val="left" w:pos="0" w:leader="none"/>
                <w:tab w:val="left" w:pos="601" w:leader="none"/>
                <w:tab w:val="left" w:pos="1309" w:leader="none"/>
              </w:tabs>
              <w:bidi w:val="0"/>
              <w:spacing w:before="120" w:after="120"/>
              <w:ind w:hanging="1309" w:start="1309"/>
              <w:jc w:val="both"/>
              <w:rPr/>
            </w:pPr>
            <w:r>
              <w:rPr/>
              <w:tab/>
              <w:t>(a)</w:t>
              <w:tab/>
              <w:t xml:space="preserve">results in a judgment of insolvency or bankruptcy or the entry of an order for relief or the making of an order for its winding-up or liquidation; or </w:t>
            </w:r>
          </w:p>
          <w:p>
            <w:pPr>
              <w:pStyle w:val="Normal"/>
              <w:tabs>
                <w:tab w:val="clear" w:pos="720"/>
                <w:tab w:val="left" w:pos="0" w:leader="none"/>
                <w:tab w:val="left" w:pos="601" w:leader="none"/>
                <w:tab w:val="left" w:pos="1309" w:leader="none"/>
              </w:tabs>
              <w:bidi w:val="0"/>
              <w:spacing w:before="120" w:after="120"/>
              <w:ind w:hanging="1309" w:start="1309"/>
              <w:jc w:val="both"/>
              <w:rPr/>
            </w:pPr>
            <w:r>
              <w:rPr/>
              <w:tab/>
              <w:t>(b)</w:t>
              <w:tab/>
              <w:t>is not dismissed, discharged, stayed or restrained, in each case within 60 days of the institution or presentation thereof;</w:t>
            </w:r>
          </w:p>
          <w:p>
            <w:pPr>
              <w:pStyle w:val="Normal"/>
              <w:tabs>
                <w:tab w:val="clear" w:pos="720"/>
                <w:tab w:val="left" w:pos="0" w:leader="none"/>
                <w:tab w:val="left" w:pos="601" w:leader="none"/>
                <w:tab w:val="left" w:pos="1309" w:leader="none"/>
              </w:tabs>
              <w:bidi w:val="0"/>
              <w:spacing w:before="120" w:after="120"/>
              <w:ind w:hanging="601" w:start="601"/>
              <w:jc w:val="both"/>
              <w:rPr/>
            </w:pPr>
            <w:r>
              <w:rPr/>
              <w:t>(iv)</w:t>
              <w:tab/>
              <w:t>the Reference Entity has a resolution passed for its winding-up, official management or liquidation (other than pursuant to a consolidation, amalgamation or merger);</w:t>
            </w:r>
          </w:p>
          <w:p>
            <w:pPr>
              <w:pStyle w:val="Normal"/>
              <w:tabs>
                <w:tab w:val="clear" w:pos="720"/>
                <w:tab w:val="left" w:pos="0" w:leader="none"/>
                <w:tab w:val="left" w:pos="601" w:leader="none"/>
                <w:tab w:val="left" w:pos="1309" w:leader="none"/>
              </w:tabs>
              <w:bidi w:val="0"/>
              <w:spacing w:before="120" w:after="120"/>
              <w:ind w:hanging="601" w:start="601"/>
              <w:jc w:val="both"/>
              <w:rPr/>
            </w:pPr>
            <w:r>
              <w:rPr/>
              <w:t>(v)</w:t>
              <w:tab/>
              <w:t>the Reference Entity seeks or becomes subject to the appointment of an administrator, provisional liquidator, conservator, receiver, trustee, custodian or other similar official for it or for all or substantially all its assets;</w:t>
            </w:r>
          </w:p>
          <w:p>
            <w:pPr>
              <w:pStyle w:val="Normal"/>
              <w:tabs>
                <w:tab w:val="clear" w:pos="720"/>
                <w:tab w:val="left" w:pos="0" w:leader="none"/>
                <w:tab w:val="left" w:pos="601" w:leader="none"/>
                <w:tab w:val="left" w:pos="1309" w:leader="none"/>
              </w:tabs>
              <w:bidi w:val="0"/>
              <w:spacing w:before="120" w:after="120"/>
              <w:ind w:hanging="601" w:start="601"/>
              <w:jc w:val="both"/>
              <w:rPr/>
            </w:pPr>
            <w:r>
              <w:rPr/>
              <w:t>(vi)</w:t>
              <w:tab/>
              <w:t>the Reference Entity has a secured party take possession of all or substantially all its assets or has a distress, execution, attachment, sequestration or other legal process levied, enforced or sued on or against all or substantially all its assets and such secured party maintains possession, or any such process is not dismissed, discharged, stayed or restrained, in each case within 60 days thereafter;</w:t>
            </w:r>
          </w:p>
          <w:p>
            <w:pPr>
              <w:pStyle w:val="Normal"/>
              <w:tabs>
                <w:tab w:val="clear" w:pos="720"/>
                <w:tab w:val="left" w:pos="0" w:leader="none"/>
                <w:tab w:val="left" w:pos="601" w:leader="none"/>
                <w:tab w:val="left" w:pos="1309" w:leader="none"/>
              </w:tabs>
              <w:bidi w:val="0"/>
              <w:spacing w:before="120" w:after="120"/>
              <w:ind w:hanging="601" w:start="601"/>
              <w:jc w:val="both"/>
              <w:rPr/>
            </w:pPr>
            <w:r>
              <w:rPr/>
              <w:t>(vii)</w:t>
              <w:tab/>
              <w:t xml:space="preserve">the Reference Entity causes or is subject to any event with respect to it which, under the applicable laws of any jurisdiction, has an analogous effect to any of the events specified in clauses (i) to (vi) (inclusive); or </w:t>
            </w:r>
          </w:p>
          <w:p>
            <w:pPr>
              <w:pStyle w:val="Normal"/>
              <w:tabs>
                <w:tab w:val="clear" w:pos="720"/>
                <w:tab w:val="left" w:pos="0" w:leader="none"/>
                <w:tab w:val="left" w:pos="601" w:leader="none"/>
                <w:tab w:val="left" w:pos="1309" w:leader="none"/>
              </w:tabs>
              <w:bidi w:val="0"/>
              <w:spacing w:before="120" w:after="120"/>
              <w:ind w:hanging="601" w:start="601"/>
              <w:jc w:val="both"/>
              <w:rPr/>
            </w:pPr>
            <w:r>
              <w:rPr/>
              <w:t>(viii)</w:t>
              <w:tab/>
              <w:t>takes any action in furtherance of, or indicating its consent to, approval of, or acquiescence in, any of the foregoing act.</w:t>
            </w:r>
          </w:p>
        </w:tc>
      </w:tr>
      <w:tr>
        <w:trPr/>
        <w:tc>
          <w:tcPr>
            <w:tcW w:w="2943" w:type="dxa"/>
            <w:tcBorders/>
          </w:tcPr>
          <w:p>
            <w:pPr>
              <w:pStyle w:val="Normal"/>
              <w:bidi w:val="0"/>
              <w:spacing w:before="120" w:after="120"/>
              <w:jc w:val="start"/>
              <w:rPr/>
            </w:pPr>
            <w:r>
              <w:rPr>
                <w:i/>
              </w:rPr>
              <w:t>“</w:t>
            </w:r>
            <w:r>
              <w:rPr>
                <w:i/>
              </w:rPr>
              <w:t>Bankruptcy Event Notice”</w:t>
            </w:r>
          </w:p>
        </w:tc>
        <w:tc>
          <w:tcPr>
            <w:tcW w:w="7087" w:type="dxa"/>
            <w:tcBorders/>
          </w:tcPr>
          <w:p>
            <w:pPr>
              <w:pStyle w:val="Normal"/>
              <w:tabs>
                <w:tab w:val="clear" w:pos="720"/>
                <w:tab w:val="left" w:pos="0" w:leader="none"/>
              </w:tabs>
              <w:bidi w:val="0"/>
              <w:spacing w:before="120" w:after="120"/>
              <w:ind w:hanging="34" w:start="34"/>
              <w:jc w:val="both"/>
              <w:rPr/>
            </w:pPr>
            <w:r>
              <w:rPr/>
              <w:t>shall mean an irrevocable notice delivered by one party to the other that describes in reasonable detail a Bankruptcy Event occurring on or after the Effective Date and before the Scheduled Termination Date.</w:t>
            </w:r>
          </w:p>
        </w:tc>
      </w:tr>
      <w:tr>
        <w:trPr/>
        <w:tc>
          <w:tcPr>
            <w:tcW w:w="2943" w:type="dxa"/>
            <w:tcBorders/>
          </w:tcPr>
          <w:p>
            <w:pPr>
              <w:pStyle w:val="Normal"/>
              <w:bidi w:val="0"/>
              <w:spacing w:before="120" w:after="120"/>
              <w:jc w:val="start"/>
              <w:rPr/>
            </w:pPr>
            <w:r>
              <w:rPr>
                <w:i/>
              </w:rPr>
              <w:t>“</w:t>
            </w:r>
            <w:r>
              <w:rPr>
                <w:i/>
              </w:rPr>
              <w:t>Business Day”</w:t>
            </w:r>
          </w:p>
        </w:tc>
        <w:tc>
          <w:tcPr>
            <w:tcW w:w="7087" w:type="dxa"/>
            <w:tcBorders/>
          </w:tcPr>
          <w:p>
            <w:pPr>
              <w:pStyle w:val="Normal"/>
              <w:bidi w:val="0"/>
              <w:spacing w:before="120" w:after="120"/>
              <w:jc w:val="both"/>
              <w:rPr/>
            </w:pPr>
            <w:r>
              <w:rPr/>
              <w:t xml:space="preserve">shall mean a day (other than a Saturday or a Sunday) on which commercial banks are open for domestic business in New York. </w:t>
            </w:r>
          </w:p>
        </w:tc>
      </w:tr>
      <w:tr>
        <w:trPr/>
        <w:tc>
          <w:tcPr>
            <w:tcW w:w="2943" w:type="dxa"/>
            <w:tcBorders/>
          </w:tcPr>
          <w:p>
            <w:pPr>
              <w:pStyle w:val="Normal"/>
              <w:bidi w:val="0"/>
              <w:spacing w:before="120" w:after="120"/>
              <w:jc w:val="start"/>
              <w:rPr/>
            </w:pPr>
            <w:r>
              <w:rPr>
                <w:i/>
              </w:rPr>
              <w:t>“</w:t>
            </w:r>
            <w:r>
              <w:rPr>
                <w:i/>
              </w:rPr>
              <w:t>Month”</w:t>
            </w:r>
          </w:p>
        </w:tc>
        <w:tc>
          <w:tcPr>
            <w:tcW w:w="7087" w:type="dxa"/>
            <w:tcBorders/>
          </w:tcPr>
          <w:p>
            <w:pPr>
              <w:pStyle w:val="Normal"/>
              <w:bidi w:val="0"/>
              <w:spacing w:before="120" w:after="120"/>
              <w:jc w:val="start"/>
              <w:rPr/>
            </w:pPr>
            <w:r>
              <w:rPr/>
              <w:t>shall mean a calendar month.</w:t>
            </w:r>
          </w:p>
        </w:tc>
      </w:tr>
      <w:tr>
        <w:trPr/>
        <w:tc>
          <w:tcPr>
            <w:tcW w:w="2943" w:type="dxa"/>
            <w:tcBorders/>
          </w:tcPr>
          <w:p>
            <w:pPr>
              <w:pStyle w:val="Normal"/>
              <w:bidi w:val="0"/>
              <w:spacing w:before="120" w:after="120"/>
              <w:jc w:val="start"/>
              <w:rPr/>
            </w:pPr>
            <w:r>
              <w:rPr>
                <w:i/>
              </w:rPr>
              <w:t>“</w:t>
            </w:r>
            <w:r>
              <w:rPr>
                <w:i/>
              </w:rPr>
              <w:t>Notice of Publicly Available Information”</w:t>
            </w:r>
          </w:p>
        </w:tc>
        <w:tc>
          <w:tcPr>
            <w:tcW w:w="7087" w:type="dxa"/>
            <w:tcBorders/>
          </w:tcPr>
          <w:p>
            <w:pPr>
              <w:pStyle w:val="Normal"/>
              <w:tabs>
                <w:tab w:val="clear" w:pos="720"/>
                <w:tab w:val="left" w:pos="0" w:leader="none"/>
              </w:tabs>
              <w:bidi w:val="0"/>
              <w:spacing w:before="120" w:after="120"/>
              <w:ind w:hanging="34" w:start="34"/>
              <w:jc w:val="both"/>
              <w:rPr/>
            </w:pPr>
            <w:r>
              <w:rPr/>
              <w:t>shall mean an irrevocable notice delivered by one party to the other that confirms in reasonable detail the occurrence of a Bankruptcy Event described in a Bankruptcy Event Notice with Publicly Available Information.    If a Bankruptcy Event Notice confirms the existence or occurrence of a Bankruptcy Event with Publicly Available Information, such notice will also be deemed to be a Notice of Publicly Available Information.</w:t>
            </w:r>
          </w:p>
        </w:tc>
      </w:tr>
      <w:tr>
        <w:trPr/>
        <w:tc>
          <w:tcPr>
            <w:tcW w:w="2943" w:type="dxa"/>
            <w:tcBorders/>
          </w:tcPr>
          <w:p>
            <w:pPr>
              <w:pStyle w:val="Normal"/>
              <w:bidi w:val="0"/>
              <w:spacing w:before="120" w:after="120"/>
              <w:jc w:val="start"/>
              <w:rPr/>
            </w:pPr>
            <w:r>
              <w:rPr>
                <w:i/>
              </w:rPr>
              <w:t>“</w:t>
            </w:r>
            <w:r>
              <w:rPr>
                <w:i/>
              </w:rPr>
              <w:t>Publicly Available Information”</w:t>
            </w:r>
          </w:p>
        </w:tc>
        <w:tc>
          <w:tcPr>
            <w:tcW w:w="7087" w:type="dxa"/>
            <w:tcBorders/>
          </w:tcPr>
          <w:p>
            <w:pPr>
              <w:pStyle w:val="Normal"/>
              <w:tabs>
                <w:tab w:val="clear" w:pos="720"/>
                <w:tab w:val="left" w:pos="0" w:leader="none"/>
              </w:tabs>
              <w:bidi w:val="0"/>
              <w:spacing w:before="120" w:after="120"/>
              <w:ind w:hanging="34" w:start="34"/>
              <w:jc w:val="both"/>
              <w:rPr/>
            </w:pPr>
            <w:r>
              <w:rPr/>
              <w:t>shall mean information that reasonably confirms any of the assertions made in a Bankruptcy Event Notice and that has been published in or on (a) not less than two of the following news sources (and any of their successor news sources);    Bloomberg Service, Dow Jones Telerate Service, Reuter Monitor Money Rates Services, Dow Jones News Wire, Wall Street Journal, New York Times, Financial Times, or (b) any official gazette or bulletin published or maintained by the government or a governmental agency or court agency of the country in which the Reference Entity is incorporated or organised.    If the Buyer or any of its Affiliates is cited by any such news source as the sole source for such information, then such information shall not be deemed to be Publicly Available Information.</w:t>
            </w:r>
          </w:p>
        </w:tc>
      </w:tr>
      <w:tr>
        <w:trPr/>
        <w:tc>
          <w:tcPr>
            <w:tcW w:w="2943" w:type="dxa"/>
            <w:tcBorders/>
          </w:tcPr>
          <w:p>
            <w:pPr>
              <w:pStyle w:val="Normal"/>
              <w:bidi w:val="0"/>
              <w:spacing w:before="120" w:after="120"/>
              <w:jc w:val="start"/>
              <w:rPr/>
            </w:pPr>
            <w:r>
              <w:rPr>
                <w:i/>
              </w:rPr>
              <w:t>“</w:t>
            </w:r>
            <w:r>
              <w:rPr>
                <w:i/>
              </w:rPr>
              <w:t>Quarter Day”</w:t>
            </w:r>
          </w:p>
        </w:tc>
        <w:tc>
          <w:tcPr>
            <w:tcW w:w="7087" w:type="dxa"/>
            <w:tcBorders/>
          </w:tcPr>
          <w:p>
            <w:pPr>
              <w:pStyle w:val="Normal"/>
              <w:bidi w:val="0"/>
              <w:spacing w:before="120" w:after="120"/>
              <w:jc w:val="start"/>
              <w:rPr/>
            </w:pPr>
            <w:r>
              <w:rPr/>
              <w:t>shall mean the last Business Day in March, June, September and December.</w:t>
            </w:r>
          </w:p>
        </w:tc>
      </w:tr>
      <w:tr>
        <w:trPr/>
        <w:tc>
          <w:tcPr>
            <w:tcW w:w="2943" w:type="dxa"/>
            <w:tcBorders/>
          </w:tcPr>
          <w:p>
            <w:pPr>
              <w:pStyle w:val="Normal"/>
              <w:bidi w:val="0"/>
              <w:spacing w:before="120" w:after="120"/>
              <w:jc w:val="start"/>
              <w:rPr/>
            </w:pPr>
            <w:r>
              <w:rPr>
                <w:i/>
              </w:rPr>
              <w:t>“</w:t>
            </w:r>
            <w:r>
              <w:rPr>
                <w:i/>
              </w:rPr>
              <w:t>Successor”</w:t>
            </w:r>
          </w:p>
        </w:tc>
        <w:tc>
          <w:tcPr>
            <w:tcW w:w="7087" w:type="dxa"/>
            <w:tcBorders/>
          </w:tcPr>
          <w:p>
            <w:pPr>
              <w:pStyle w:val="Normal"/>
              <w:tabs>
                <w:tab w:val="clear" w:pos="720"/>
                <w:tab w:val="left" w:pos="0" w:leader="none"/>
              </w:tabs>
              <w:bidi w:val="0"/>
              <w:spacing w:before="120" w:after="120"/>
              <w:ind w:hanging="34" w:start="34"/>
              <w:jc w:val="both"/>
              <w:rPr/>
            </w:pPr>
            <w:r>
              <w:rPr/>
              <w:t>shall mean a direct or indirect successor to a Reference Entity that assumes all or substantially all of the obligations of the Reference Entity by way of merger, consolidation, amalgamation, transfer or otherwise, whether by operation of law or pursuant to any agreement as determined by the Calculation Agent.</w:t>
            </w:r>
          </w:p>
        </w:tc>
      </w:tr>
      <w:tr>
        <w:trPr>
          <w:cantSplit w:val="true"/>
        </w:trPr>
        <w:tc>
          <w:tcPr>
            <w:tcW w:w="10030" w:type="dxa"/>
            <w:gridSpan w:val="2"/>
            <w:tcBorders/>
          </w:tcPr>
          <w:p>
            <w:pPr>
              <w:pStyle w:val="Normal"/>
              <w:tabs>
                <w:tab w:val="clear" w:pos="720"/>
                <w:tab w:val="left" w:pos="0" w:leader="none"/>
              </w:tabs>
              <w:bidi w:val="0"/>
              <w:spacing w:before="120" w:after="120"/>
              <w:ind w:hanging="34" w:start="34"/>
              <w:jc w:val="start"/>
              <w:rPr/>
            </w:pPr>
            <w:r>
              <w:rPr/>
              <w:t>References to times shall be construed as references to Central Standard Time in the United States.</w:t>
            </w:r>
          </w:p>
        </w:tc>
      </w:tr>
    </w:tbl>
    <w:p>
      <w:pPr>
        <w:pStyle w:val="Normal"/>
        <w:bidi w:val="0"/>
        <w:spacing w:before="120" w:after="120"/>
        <w:jc w:val="start"/>
        <w:rPr/>
      </w:pPr>
      <w:r>
        <w:rPr/>
        <w:t>Please confirm your agreement to be bound by the terms of the foregoing by executing a copy of this Confirmation and returning to us by facsimile.</w:t>
      </w:r>
    </w:p>
    <w:p>
      <w:pPr>
        <w:pStyle w:val="Normal"/>
        <w:bidi w:val="0"/>
        <w:jc w:val="start"/>
        <w:rPr/>
      </w:pPr>
      <w:r>
        <w:rPr/>
        <w:t>Sincerely,</w:t>
      </w:r>
    </w:p>
    <w:p>
      <w:pPr>
        <w:pStyle w:val="Normal"/>
        <w:bidi w:val="0"/>
        <w:jc w:val="start"/>
        <w:rPr/>
      </w:pPr>
      <w:r>
        <w:rPr/>
      </w:r>
    </w:p>
    <w:tbl>
      <w:tblPr>
        <w:tblW w:w="10065" w:type="dxa"/>
        <w:jc w:val="start"/>
        <w:tblInd w:w="-34" w:type="dxa"/>
        <w:tblLayout w:type="fixed"/>
        <w:tblCellMar>
          <w:top w:w="0" w:type="dxa"/>
          <w:start w:w="108" w:type="dxa"/>
          <w:bottom w:w="0" w:type="dxa"/>
          <w:end w:w="108" w:type="dxa"/>
        </w:tblCellMar>
      </w:tblPr>
      <w:tblGrid>
        <w:gridCol w:w="4678"/>
        <w:gridCol w:w="5386"/>
      </w:tblGrid>
      <w:tr>
        <w:trPr/>
        <w:tc>
          <w:tcPr>
            <w:tcW w:w="4678" w:type="dxa"/>
            <w:tcBorders/>
          </w:tcPr>
          <w:p>
            <w:pPr>
              <w:pStyle w:val="Normal"/>
              <w:tabs>
                <w:tab w:val="clear" w:pos="720"/>
              </w:tabs>
              <w:bidi w:val="0"/>
              <w:spacing w:before="0" w:after="120"/>
              <w:jc w:val="start"/>
              <w:rPr/>
            </w:pPr>
            <w:r>
              <w:rPr>
                <w:b/>
                <w:lang w:val="en-CA"/>
              </w:rPr>
              <w:fldChar w:fldCharType="begin"/>
            </w:r>
            <w:r>
              <w:rPr>
                <w:b/>
                <w:lang w:val="en-CA"/>
              </w:rPr>
              <w:instrText xml:space="preserve"> MERGEFIELD EnronEntityName </w:instrText>
            </w:r>
            <w:r>
              <w:rPr>
                <w:b/>
                <w:lang w:val="en-CA"/>
              </w:rPr>
              <w:fldChar w:fldCharType="separate"/>
            </w:r>
            <w:r>
              <w:rPr>
                <w:b/>
                <w:lang w:val="en-CA"/>
              </w:rPr>
              <w:t>Enron North America Corp.</w:t>
            </w:r>
            <w:r>
              <w:rPr>
                <w:b/>
                <w:lang w:val="en-CA"/>
              </w:rPr>
              <w:fldChar w:fldCharType="end"/>
            </w:r>
          </w:p>
        </w:tc>
        <w:tc>
          <w:tcPr>
            <w:tcW w:w="5386" w:type="dxa"/>
            <w:tcBorders/>
          </w:tcPr>
          <w:p>
            <w:pPr>
              <w:pStyle w:val="Normal"/>
              <w:tabs>
                <w:tab w:val="clear" w:pos="720"/>
              </w:tabs>
              <w:bidi w:val="0"/>
              <w:spacing w:before="0" w:after="120"/>
              <w:jc w:val="start"/>
              <w:rPr/>
            </w:pPr>
            <w:r>
              <w:rPr>
                <w:b/>
              </w:rPr>
              <w:t>Koch Industries Inc.</w:t>
            </w:r>
          </w:p>
        </w:tc>
      </w:tr>
      <w:tr>
        <w:trPr/>
        <w:tc>
          <w:tcPr>
            <w:tcW w:w="4678" w:type="dxa"/>
            <w:tcBorders/>
          </w:tcPr>
          <w:p>
            <w:pPr>
              <w:pStyle w:val="Normal"/>
              <w:tabs>
                <w:tab w:val="clear" w:pos="720"/>
              </w:tabs>
              <w:bidi w:val="0"/>
              <w:spacing w:before="0" w:after="120"/>
              <w:jc w:val="start"/>
              <w:rPr/>
            </w:pPr>
            <w:r>
              <w:rPr/>
              <w:t xml:space="preserve">                          </w:t>
            </w:r>
          </w:p>
        </w:tc>
        <w:tc>
          <w:tcPr>
            <w:tcW w:w="5386" w:type="dxa"/>
            <w:tcBorders/>
          </w:tcPr>
          <w:p>
            <w:pPr>
              <w:pStyle w:val="Normal"/>
              <w:tabs>
                <w:tab w:val="clear" w:pos="720"/>
              </w:tabs>
              <w:bidi w:val="0"/>
              <w:spacing w:before="0" w:after="120"/>
              <w:jc w:val="start"/>
              <w:rPr/>
            </w:pPr>
            <w:r>
              <w:rPr/>
            </w:r>
          </w:p>
        </w:tc>
      </w:tr>
      <w:tr>
        <w:trPr/>
        <w:tc>
          <w:tcPr>
            <w:tcW w:w="4678" w:type="dxa"/>
            <w:tcBorders/>
          </w:tcPr>
          <w:p>
            <w:pPr>
              <w:pStyle w:val="Normal"/>
              <w:bidi w:val="0"/>
              <w:spacing w:before="0" w:after="120"/>
              <w:jc w:val="start"/>
              <w:rPr/>
            </w:pPr>
            <w:r>
              <w:rPr/>
              <w:t>By:</w:t>
            </w:r>
          </w:p>
        </w:tc>
        <w:tc>
          <w:tcPr>
            <w:tcW w:w="5386" w:type="dxa"/>
            <w:tcBorders/>
          </w:tcPr>
          <w:p>
            <w:pPr>
              <w:pStyle w:val="Normal"/>
              <w:bidi w:val="0"/>
              <w:spacing w:before="0" w:after="120"/>
              <w:jc w:val="start"/>
              <w:rPr/>
            </w:pPr>
            <w:r>
              <w:rPr/>
              <w:t>By: ____________________________</w:t>
            </w:r>
          </w:p>
        </w:tc>
      </w:tr>
      <w:tr>
        <w:trPr/>
        <w:tc>
          <w:tcPr>
            <w:tcW w:w="4678" w:type="dxa"/>
            <w:tcBorders/>
          </w:tcPr>
          <w:p>
            <w:pPr>
              <w:pStyle w:val="Normal"/>
              <w:bidi w:val="0"/>
              <w:spacing w:before="0" w:after="120"/>
              <w:jc w:val="start"/>
              <w:rPr/>
            </w:pPr>
            <w:r>
              <w:rPr/>
              <w:t xml:space="preserve">Name: </w:t>
            </w:r>
          </w:p>
        </w:tc>
        <w:tc>
          <w:tcPr>
            <w:tcW w:w="5386" w:type="dxa"/>
            <w:tcBorders/>
          </w:tcPr>
          <w:p>
            <w:pPr>
              <w:pStyle w:val="Normal"/>
              <w:bidi w:val="0"/>
              <w:spacing w:before="0" w:after="120"/>
              <w:jc w:val="start"/>
              <w:rPr/>
            </w:pPr>
            <w:r>
              <w:rPr/>
              <w:t>Name:    _________________________</w:t>
            </w:r>
          </w:p>
        </w:tc>
      </w:tr>
      <w:tr>
        <w:trPr/>
        <w:tc>
          <w:tcPr>
            <w:tcW w:w="4678" w:type="dxa"/>
            <w:tcBorders/>
          </w:tcPr>
          <w:p>
            <w:pPr>
              <w:pStyle w:val="Normal"/>
              <w:bidi w:val="0"/>
              <w:spacing w:before="0" w:after="120"/>
              <w:jc w:val="start"/>
              <w:rPr/>
            </w:pPr>
            <w:r>
              <w:rPr/>
              <w:t xml:space="preserve">Title: </w:t>
            </w:r>
          </w:p>
        </w:tc>
        <w:tc>
          <w:tcPr>
            <w:tcW w:w="5386" w:type="dxa"/>
            <w:tcBorders/>
          </w:tcPr>
          <w:p>
            <w:pPr>
              <w:pStyle w:val="Normal"/>
              <w:bidi w:val="0"/>
              <w:spacing w:before="0" w:after="120"/>
              <w:jc w:val="start"/>
              <w:rPr/>
            </w:pPr>
            <w:r>
              <w:rPr/>
              <w:t>Title:    __________________________</w:t>
            </w:r>
          </w:p>
        </w:tc>
      </w:tr>
      <w:tr>
        <w:trPr/>
        <w:tc>
          <w:tcPr>
            <w:tcW w:w="4678" w:type="dxa"/>
            <w:tcBorders/>
          </w:tcPr>
          <w:p>
            <w:pPr>
              <w:pStyle w:val="Normal"/>
              <w:tabs>
                <w:tab w:val="clear" w:pos="720"/>
              </w:tabs>
              <w:bidi w:val="0"/>
              <w:spacing w:before="0" w:after="120"/>
              <w:jc w:val="start"/>
              <w:rPr/>
            </w:pPr>
            <w:r>
              <w:rPr/>
              <w:t xml:space="preserve">Date: </w:t>
            </w:r>
          </w:p>
        </w:tc>
        <w:tc>
          <w:tcPr>
            <w:tcW w:w="5386" w:type="dxa"/>
            <w:tcBorders/>
          </w:tcPr>
          <w:p>
            <w:pPr>
              <w:pStyle w:val="Normal"/>
              <w:tabs>
                <w:tab w:val="clear" w:pos="720"/>
              </w:tabs>
              <w:bidi w:val="0"/>
              <w:spacing w:before="0" w:after="120"/>
              <w:jc w:val="start"/>
              <w:rPr/>
            </w:pPr>
            <w:r>
              <w:rPr/>
              <w:t>Date:    __________________________</w:t>
            </w:r>
          </w:p>
        </w:tc>
      </w:tr>
    </w:tbl>
    <w:p>
      <w:pPr>
        <w:pStyle w:val="Normal"/>
        <w:bidi w:val="0"/>
        <w:jc w:val="start"/>
        <w:rPr>
          <w:b/>
        </w:rPr>
      </w:pPr>
      <w:r>
        <w:rPr>
          <w:b/>
        </w:rPr>
      </w:r>
    </w:p>
    <w:p>
      <w:pPr>
        <w:pStyle w:val="Normal"/>
        <w:bidi w:val="0"/>
        <w:spacing w:before="120" w:after="120"/>
        <w:jc w:val="start"/>
        <w:rPr/>
      </w:pPr>
      <w:r>
        <w:rPr/>
      </w:r>
    </w:p>
    <w:sectPr>
      <w:headerReference w:type="even" r:id="rId3"/>
      <w:headerReference w:type="default" r:id="rId4"/>
      <w:headerReference w:type="first" r:id="rId5"/>
      <w:type w:val="nextPage"/>
      <w:pgSz w:w="12240" w:h="15840"/>
      <w:pgMar w:left="1418" w:right="1041" w:gutter="0" w:header="357" w:top="1134" w:footer="0" w:bottom="141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CG Times">
    <w:charset w:val="01" w:characterSet="utf-8"/>
    <w:family w:val="roman"/>
    <w:pitch w:val="variable"/>
  </w:font>
  <w:font w:name="Tahoma">
    <w:charset w:val="01" w:characterSet="utf-8"/>
    <w:family w:val="roman"/>
    <w:pitch w:val="variable"/>
  </w:font>
  <w:font w:name="Arial">
    <w:charset w:val="01" w:characterSet="utf-8"/>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630" w:leader="none"/>
        <w:tab w:val="right" w:pos="10710" w:leader="none"/>
      </w:tabs>
      <w:bidi w:val="0"/>
      <w:jc w:val="start"/>
      <w:rPr>
        <w:rFonts w:ascii="Arial" w:hAnsi="Arial"/>
        <w:b/>
      </w:rPr>
    </w:pPr>
    <w:r>
      <w:rPr/>
      <w:tab/>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630" w:leader="none"/>
        <w:tab w:val="right" w:pos="10710" w:leader="none"/>
      </w:tabs>
      <w:bidi w:val="0"/>
      <w:jc w:val="start"/>
      <w:rPr>
        <w:rFonts w:ascii="Arial" w:hAnsi="Arial"/>
        <w:b/>
      </w:rPr>
    </w:pPr>
    <w:r>
      <w:rPr/>
      <w:tab/>
      <w:t xml:space="preserve"> </w:t>
    </w:r>
  </w:p>
</w:hdr>
</file>

<file path=word/settings.xml><?xml version="1.0" encoding="utf-8"?>
<w:settings xmlns:w="http://schemas.openxmlformats.org/wordprocessingml/2006/main">
  <w:zoom w:percent="114"/>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Tahoma" w:cs="CG Times"/>
      <w:color w:val="auto"/>
      <w:kern w:val="2"/>
      <w:sz w:val="20"/>
      <w:szCs w:val="24"/>
      <w:lang w:val="en-CA" w:eastAsia="zh-CN" w:bidi="hi-IN"/>
    </w:rPr>
  </w:style>
  <w:style w:type="paragraph" w:styleId="Heading1">
    <w:name w:val="heading 1"/>
    <w:basedOn w:val="Normal"/>
    <w:next w:val="Normal"/>
    <w:qFormat/>
    <w:pPr>
      <w:keepNext w:val="true"/>
      <w:widowControl/>
    </w:pPr>
    <w:rPr>
      <w:b/>
      <w:u w:val="single"/>
    </w:rPr>
  </w:style>
  <w:style w:type="paragraph" w:styleId="Heading2">
    <w:name w:val="heading 2"/>
    <w:basedOn w:val="Normal"/>
    <w:next w:val="Normal"/>
    <w:qFormat/>
    <w:pPr>
      <w:keepNext w:val="true"/>
      <w:widowControl/>
    </w:pPr>
    <w:rPr>
      <w:b/>
    </w:rPr>
  </w:style>
  <w:style w:type="paragraph" w:styleId="Heading3">
    <w:name w:val="heading 3"/>
    <w:basedOn w:val="Normal"/>
    <w:next w:val="Normal"/>
    <w:qFormat/>
    <w:pPr>
      <w:keepNext w:val="true"/>
      <w:widowControl/>
      <w:spacing w:before="20" w:after="60"/>
    </w:pPr>
    <w:rPr/>
  </w:style>
  <w:style w:type="paragraph" w:styleId="Heading4">
    <w:name w:val="heading 4"/>
    <w:basedOn w:val="Normal"/>
    <w:next w:val="Normal"/>
    <w:qFormat/>
    <w:pPr>
      <w:keepNext w:val="true"/>
      <w:widowControl/>
      <w:spacing w:before="20" w:after="60"/>
    </w:pPr>
    <w:rPr>
      <w:color w:val="000080"/>
    </w:rPr>
  </w:style>
  <w:style w:type="paragraph" w:styleId="Heading5">
    <w:name w:val="heading 5"/>
    <w:basedOn w:val="Normal"/>
    <w:next w:val="Normal"/>
    <w:qFormat/>
    <w:pPr>
      <w:keepNext w:val="true"/>
      <w:widowControl/>
      <w:spacing w:before="20" w:after="60"/>
      <w:jc w:val="center"/>
    </w:pPr>
    <w:rPr>
      <w:b/>
    </w:rPr>
  </w:style>
  <w:style w:type="paragraph" w:styleId="Heading6">
    <w:name w:val="heading 6"/>
    <w:basedOn w:val="Normal"/>
    <w:next w:val="Normal"/>
    <w:qFormat/>
    <w:pPr>
      <w:keepNext w:val="true"/>
      <w:widowControl/>
      <w:spacing w:before="20" w:after="60"/>
      <w:jc w:val="center"/>
    </w:pPr>
    <w:rPr>
      <w:sz w:val="36"/>
    </w:rPr>
  </w:style>
  <w:style w:type="paragraph" w:styleId="Heading7">
    <w:name w:val="heading 7"/>
    <w:basedOn w:val="Normal"/>
    <w:next w:val="Normal"/>
    <w:qFormat/>
    <w:pPr>
      <w:keepNext w:val="true"/>
      <w:widowControl/>
      <w:spacing w:before="0" w:after="60"/>
      <w:ind w:firstLine="720" w:start="2880"/>
    </w:pPr>
    <w:rPr>
      <w:b/>
      <w:color w:val="000000"/>
      <w:sz w:val="32"/>
    </w:rPr>
  </w:style>
  <w:style w:type="paragraph" w:styleId="Heading8">
    <w:name w:val="heading 8"/>
    <w:basedOn w:val="Normal"/>
    <w:next w:val="Normal"/>
    <w:qFormat/>
    <w:pPr>
      <w:keepNext w:val="true"/>
      <w:widowControl/>
      <w:spacing w:before="0" w:after="60"/>
      <w:ind w:hanging="2880" w:start="2880"/>
      <w:jc w:val="both"/>
    </w:pPr>
    <w:rPr>
      <w:color w:val="000000"/>
      <w:sz w:val="32"/>
    </w:rPr>
  </w:style>
  <w:style w:type="paragraph" w:styleId="Heading9">
    <w:name w:val="heading 9"/>
    <w:basedOn w:val="Normal"/>
    <w:next w:val="Normal"/>
    <w:qFormat/>
    <w:pPr>
      <w:keepNext w:val="true"/>
      <w:widowControl/>
      <w:jc w:val="center"/>
    </w:pPr>
    <w:rPr>
      <w:sz w:val="28"/>
      <w:u w:val="single"/>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CommentReference">
    <w:name w:val="annotation reference"/>
    <w:basedOn w:val="DefaultParagraphFont"/>
    <w:qFormat/>
    <w:rPr>
      <w:sz w:val="16"/>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pPr>
    <w:rPr>
      <w:sz w:val="22"/>
    </w:rPr>
  </w:style>
  <w:style w:type="paragraph" w:styleId="List">
    <w:name w:val="List"/>
    <w:basedOn w:val="BodyText"/>
    <w:pPr/>
    <w:rPr>
      <w:rFonts w:cs="NotoSans NF"/>
    </w:rPr>
  </w:style>
  <w:style w:type="paragraph" w:styleId="Caption">
    <w:name w:val="caption"/>
    <w:basedOn w:val="Normal"/>
    <w:next w:val="Normal"/>
    <w:qFormat/>
    <w:pPr>
      <w:widowControl/>
      <w:tabs>
        <w:tab w:val="clear" w:pos="720"/>
        <w:tab w:val="left" w:pos="2880" w:leader="none"/>
      </w:tabs>
      <w:spacing w:before="20" w:after="60"/>
    </w:pPr>
    <w:rPr>
      <w:b/>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tabs>
        <w:tab w:val="clear" w:pos="720"/>
        <w:tab w:val="center" w:pos="4320" w:leader="none"/>
        <w:tab w:val="right" w:pos="8640" w:leader="none"/>
      </w:tabs>
    </w:pPr>
    <w:rPr>
      <w:sz w:val="20"/>
    </w:rPr>
  </w:style>
  <w:style w:type="paragraph" w:styleId="Footer">
    <w:name w:val="footer"/>
    <w:basedOn w:val="Normal"/>
    <w:pPr>
      <w:widowControl/>
      <w:tabs>
        <w:tab w:val="clear" w:pos="720"/>
        <w:tab w:val="center" w:pos="4320" w:leader="none"/>
        <w:tab w:val="right" w:pos="8640" w:leader="none"/>
      </w:tabs>
    </w:pPr>
    <w:rPr>
      <w:sz w:val="20"/>
    </w:rPr>
  </w:style>
  <w:style w:type="paragraph" w:styleId="BodyText2">
    <w:name w:val="Body Text 2"/>
    <w:basedOn w:val="Normal"/>
    <w:qFormat/>
    <w:pPr>
      <w:widowControl/>
      <w:ind w:hanging="11"/>
    </w:pPr>
    <w:rPr>
      <w:sz w:val="22"/>
    </w:rPr>
  </w:style>
  <w:style w:type="paragraph" w:styleId="BodyTextIndent2">
    <w:name w:val="Body Text Indent 2"/>
    <w:basedOn w:val="Normal"/>
    <w:qFormat/>
    <w:pPr>
      <w:widowControl/>
      <w:tabs>
        <w:tab w:val="clear" w:pos="720"/>
        <w:tab w:val="left" w:pos="-18" w:leader="none"/>
      </w:tabs>
      <w:ind w:hanging="18"/>
      <w:jc w:val="both"/>
    </w:pPr>
    <w:rPr>
      <w:rFonts w:ascii="CG Times" w:hAnsi="CG Times"/>
    </w:rPr>
  </w:style>
  <w:style w:type="paragraph" w:styleId="BodyTextIndent3">
    <w:name w:val="Body Text Indent 3"/>
    <w:basedOn w:val="Normal"/>
    <w:qFormat/>
    <w:pPr>
      <w:widowControl/>
      <w:tabs>
        <w:tab w:val="left" w:pos="-18" w:leader="none"/>
        <w:tab w:val="left" w:pos="720" w:leader="none"/>
        <w:tab w:val="left" w:pos="1440" w:leader="none"/>
      </w:tabs>
      <w:ind w:firstLine="18" w:start="-18"/>
      <w:jc w:val="both"/>
    </w:pPr>
    <w:rPr>
      <w:rFonts w:ascii="CG Times" w:hAnsi="CG Times"/>
    </w:rPr>
  </w:style>
  <w:style w:type="paragraph" w:styleId="BodyText3">
    <w:name w:val="Body Text 3"/>
    <w:basedOn w:val="Normal"/>
    <w:qFormat/>
    <w:pPr>
      <w:widowControl/>
      <w:tabs>
        <w:tab w:val="left" w:pos="0" w:leader="none"/>
        <w:tab w:val="left" w:pos="720" w:leader="none"/>
        <w:tab w:val="left" w:pos="1440" w:leader="none"/>
      </w:tabs>
      <w:jc w:val="both"/>
    </w:pPr>
    <w:rPr>
      <w:rFonts w:ascii="CG Times" w:hAnsi="CG Times"/>
    </w:rPr>
  </w:style>
  <w:style w:type="paragraph" w:styleId="FootnoteText">
    <w:name w:val="footnote text"/>
    <w:basedOn w:val="Normal"/>
    <w:pPr>
      <w:widowControl/>
    </w:pPr>
    <w:rPr>
      <w:sz w:val="20"/>
    </w:rPr>
  </w:style>
  <w:style w:type="paragraph" w:styleId="CommentText">
    <w:name w:val="annotation text"/>
    <w:basedOn w:val="Normal"/>
    <w:pPr>
      <w:widowControl/>
    </w:pPr>
    <w:rPr>
      <w:sz w:val="20"/>
    </w:rPr>
  </w:style>
  <w:style w:type="paragraph" w:styleId="DocumentMap">
    <w:name w:val="Document Map"/>
    <w:basedOn w:val="Normal"/>
    <w:qFormat/>
    <w:pPr>
      <w:widowControl/>
      <w:shd w:fill="000080"/>
    </w:pPr>
    <w:rPr>
      <w:rFonts w:ascii="Tahoma" w:hAnsi="Tahoma"/>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2247</Words>
  <Characters>15734</Characters>
  <CharactersWithSpaces>12812</CharactersWithSpaces>
  <Company>Merrill Lynch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2000-03-23T15:21:00Z</dcterms:created>
  <dc:creator>smurdock</dc:creator>
  <dc:description/>
  <dc:language>en-CA</dc:language>
  <cp:lastModifiedBy/>
  <cp:lastPrinted>2000-02-10T18:47:00Z</cp:lastPrinted>
  <dcterms:modified xsi:type="dcterms:W3CDTF">2000-03-23T15:25:00Z</dcterms:modified>
  <cp:revision>4</cp:revision>
  <dc:subject/>
  <dc:title>Credit Default Swaps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ECooper</vt:lpwstr>
  </property>
  <property fmtid="{D5CDD505-2E9C-101B-9397-08002B2CF9AE}" pid="3" name="udp_Author">
    <vt:lpwstr>GPXB</vt:lpwstr>
  </property>
  <property fmtid="{D5CDD505-2E9C-101B-9397-08002B2CF9AE}" pid="4" name="udp_BorderStyle">
    <vt:lpwstr>None</vt:lpwstr>
  </property>
  <property fmtid="{D5CDD505-2E9C-101B-9397-08002B2CF9AE}" pid="5" name="udp_CMNumber">
    <vt:lpwstr>214686/11161</vt:lpwstr>
  </property>
  <property fmtid="{D5CDD505-2E9C-101B-9397-08002B2CF9AE}" pid="6" name="udp_Client">
    <vt:lpwstr> </vt:lpwstr>
  </property>
  <property fmtid="{D5CDD505-2E9C-101B-9397-08002B2CF9AE}" pid="7" name="udp_DocID">
    <vt:lpwstr>CA003670470</vt:lpwstr>
  </property>
  <property fmtid="{D5CDD505-2E9C-101B-9397-08002B2CF9AE}" pid="8" name="udp_Justified">
    <vt:bool>0</vt:bool>
  </property>
  <property fmtid="{D5CDD505-2E9C-101B-9397-08002B2CF9AE}" pid="9" name="udp_Layout">
    <vt:lpwstr>None</vt:lpwstr>
  </property>
  <property fmtid="{D5CDD505-2E9C-101B-9397-08002B2CF9AE}" pid="10" name="udp_Matter">
    <vt:lpwstr> </vt:lpwstr>
  </property>
  <property fmtid="{D5CDD505-2E9C-101B-9397-08002B2CF9AE}" pid="11" name="udp_Typist">
    <vt:lpwstr>Ruggeri, Roberto</vt:lpwstr>
  </property>
  <property fmtid="{D5CDD505-2E9C-101B-9397-08002B2CF9AE}" pid="12" name="udp_Version">
    <vt:lpwstr>11</vt:lpwstr>
  </property>
</Properties>
</file>