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rPr/>
      </w:pPr>
      <w:r>
        <w:rPr/>
      </w:r>
    </w:p>
    <w:p>
      <w:pPr>
        <w:pStyle w:val="Header"/>
        <w:tabs>
          <w:tab w:val="clear" w:pos="4320"/>
          <w:tab w:val="clear" w:pos="8640"/>
        </w:tabs>
        <w:rPr/>
      </w:pPr>
      <w:r>
        <w:rPr/>
      </w:r>
    </w:p>
    <w:p>
      <w:pPr>
        <w:pStyle w:val="Heading4"/>
        <w:ind w:hanging="0" w:start="0"/>
        <w:rPr>
          <w:b/>
          <w:sz w:val="20"/>
        </w:rPr>
      </w:pPr>
      <w:r>
        <w:rPr>
          <w:b/>
          <w:sz w:val="20"/>
        </w:rPr>
        <w:t>Forrest E. Hoglund</w:t>
      </w:r>
    </w:p>
    <w:p>
      <w:pPr>
        <w:pStyle w:val="Heading2"/>
        <w:ind w:hanging="0" w:start="0"/>
        <w:rPr>
          <w:rFonts w:ascii="Times New Roman" w:hAnsi="Times New Roman" w:cs="Times New Roman"/>
        </w:rPr>
      </w:pPr>
      <w:r>
        <w:rPr>
          <w:rFonts w:cs="Times New Roman" w:ascii="Times New Roman" w:hAnsi="Times New Roman"/>
        </w:rPr>
        <w:t>Chairman and Chief Executive Officer</w:t>
      </w:r>
    </w:p>
    <w:p>
      <w:pPr>
        <w:pStyle w:val="Normal"/>
        <w:rPr>
          <w:rFonts w:ascii="Times New Roman" w:hAnsi="Times New Roman" w:cs="Times New Roman"/>
        </w:rPr>
      </w:pPr>
      <w:r>
        <w:rPr>
          <w:rFonts w:cs="Times New Roman"/>
        </w:rPr>
      </w:r>
    </w:p>
    <w:p>
      <w:pPr>
        <w:pStyle w:val="Normal"/>
        <w:rPr/>
      </w:pPr>
      <w:r>
        <w:rPr/>
      </w:r>
    </w:p>
    <w:p>
      <w:pPr>
        <w:pStyle w:val="Normal"/>
        <w:rPr/>
      </w:pPr>
      <w:r>
        <w:rPr/>
      </w:r>
    </w:p>
    <w:p>
      <w:pPr>
        <w:pStyle w:val="Normal"/>
        <w:rPr>
          <w:sz w:val="22"/>
        </w:rPr>
      </w:pPr>
      <w:r>
        <w:rPr>
          <w:sz w:val="22"/>
        </w:rPr>
        <w:t>November 9, 2000</w:t>
      </w:r>
    </w:p>
    <w:p>
      <w:pPr>
        <w:pStyle w:val="Normal"/>
        <w:rPr>
          <w:sz w:val="22"/>
        </w:rPr>
      </w:pPr>
      <w:r>
        <w:rPr>
          <w:sz w:val="22"/>
        </w:rPr>
      </w:r>
    </w:p>
    <w:p>
      <w:pPr>
        <w:pStyle w:val="Normal"/>
        <w:rPr>
          <w:sz w:val="22"/>
        </w:rPr>
      </w:pPr>
      <w:r>
        <w:rPr>
          <w:sz w:val="22"/>
        </w:rPr>
      </w:r>
    </w:p>
    <w:p>
      <w:pPr>
        <w:pStyle w:val="Normal"/>
        <w:rPr>
          <w:sz w:val="22"/>
        </w:rPr>
      </w:pPr>
      <w:r>
        <w:rPr>
          <w:sz w:val="22"/>
        </w:rPr>
        <w:t>The Honorable Tony Knowles</w:t>
      </w:r>
    </w:p>
    <w:p>
      <w:pPr>
        <w:pStyle w:val="Normal"/>
        <w:rPr>
          <w:sz w:val="22"/>
        </w:rPr>
      </w:pPr>
      <w:r>
        <w:rPr>
          <w:sz w:val="22"/>
        </w:rPr>
        <w:t>Governor, State of Alaska</w:t>
      </w:r>
    </w:p>
    <w:p>
      <w:pPr>
        <w:pStyle w:val="Normal"/>
        <w:jc w:val="both"/>
        <w:rPr>
          <w:sz w:val="22"/>
        </w:rPr>
      </w:pPr>
      <w:r>
        <w:rPr>
          <w:sz w:val="22"/>
        </w:rPr>
        <w:t>Court Plaza, Third Floor</w:t>
      </w:r>
    </w:p>
    <w:p>
      <w:pPr>
        <w:pStyle w:val="Normal"/>
        <w:jc w:val="both"/>
        <w:rPr>
          <w:sz w:val="22"/>
        </w:rPr>
      </w:pPr>
      <w:r>
        <w:rPr>
          <w:sz w:val="22"/>
        </w:rPr>
        <w:t>240 Main Street</w:t>
      </w:r>
    </w:p>
    <w:p>
      <w:pPr>
        <w:pStyle w:val="Normal"/>
        <w:jc w:val="both"/>
        <w:rPr>
          <w:sz w:val="22"/>
        </w:rPr>
      </w:pPr>
      <w:r>
        <w:rPr>
          <w:sz w:val="22"/>
        </w:rPr>
        <w:t>Juneau, AK   99801</w:t>
      </w:r>
    </w:p>
    <w:p>
      <w:pPr>
        <w:pStyle w:val="Normal"/>
        <w:rPr>
          <w:sz w:val="22"/>
        </w:rPr>
      </w:pPr>
      <w:r>
        <w:rPr>
          <w:sz w:val="22"/>
        </w:rPr>
      </w:r>
    </w:p>
    <w:p>
      <w:pPr>
        <w:pStyle w:val="Normal"/>
        <w:rPr>
          <w:sz w:val="22"/>
        </w:rPr>
      </w:pPr>
      <w:r>
        <w:rPr>
          <w:sz w:val="22"/>
        </w:rPr>
        <w:t>Dear Governor Knowles:</w:t>
      </w:r>
    </w:p>
    <w:p>
      <w:pPr>
        <w:pStyle w:val="Normal"/>
        <w:rPr>
          <w:sz w:val="22"/>
        </w:rPr>
      </w:pPr>
      <w:r>
        <w:rPr>
          <w:sz w:val="22"/>
        </w:rPr>
      </w:r>
    </w:p>
    <w:p>
      <w:pPr>
        <w:pStyle w:val="Normal"/>
        <w:ind w:firstLine="720" w:end="0"/>
        <w:jc w:val="both"/>
        <w:rPr>
          <w:sz w:val="22"/>
        </w:rPr>
      </w:pPr>
      <w:r>
        <w:rPr>
          <w:sz w:val="22"/>
        </w:rPr>
        <w:t xml:space="preserve">As you are aware, we at Arctic Resources Company (ARC) believe that our unique approach to North Slope gas commercialization can successfully address all aspects of the framework that you presented this past August, specifically: revenues to Alaska, jobs to Alaskans, and gas to Alaskans.  I have written this letter to describe some of the reasons that I believe ARC’s approach actually represents the fastest and, in fact, most likely approach for your objectives to be achieved.  </w:t>
      </w:r>
    </w:p>
    <w:p>
      <w:pPr>
        <w:pStyle w:val="Normal"/>
        <w:jc w:val="both"/>
        <w:rPr>
          <w:sz w:val="22"/>
        </w:rPr>
      </w:pPr>
      <w:r>
        <w:rPr>
          <w:sz w:val="22"/>
        </w:rPr>
      </w:r>
    </w:p>
    <w:p>
      <w:pPr>
        <w:pStyle w:val="Normal"/>
        <w:ind w:firstLine="720" w:end="0"/>
        <w:jc w:val="both"/>
        <w:rPr>
          <w:sz w:val="22"/>
        </w:rPr>
      </w:pPr>
      <w:r>
        <w:rPr>
          <w:sz w:val="22"/>
        </w:rPr>
        <w:t xml:space="preserve">In considering the issues that will affect the timing of the two primary pipeline alternatives (i.e., a southern route such as ANGTS and the northern ARC route), there are significant differences.  Certain aspects of each alternative will require more or less time than the other.  Additionally, each of the alternatives will be challenged on a number of issues in the normal course of business.  While the challenges and issues will vary, the real key related to timing will be to determine which of the challenges has the potential to be insurmountable, thereby creating a truly major delay.  The project that is logical, fundamentally sound, and which benefits (and certainly does not harm) the critical constituencies will go forward without insurmountable challenges.  As a result, I believe that the ARC approach will be the best and fastest alternative to finally provide Alaskans with the full economic, employment, and gas supply benefits of their valuable natural gas resources.   </w:t>
      </w:r>
    </w:p>
    <w:p>
      <w:pPr>
        <w:pStyle w:val="Normal"/>
        <w:jc w:val="both"/>
        <w:rPr>
          <w:sz w:val="22"/>
        </w:rPr>
      </w:pPr>
      <w:r>
        <w:rPr>
          <w:sz w:val="22"/>
        </w:rPr>
      </w:r>
    </w:p>
    <w:p>
      <w:pPr>
        <w:pStyle w:val="Normal"/>
        <w:ind w:firstLine="720" w:end="0"/>
        <w:jc w:val="both"/>
        <w:rPr>
          <w:sz w:val="22"/>
        </w:rPr>
      </w:pPr>
      <w:r>
        <w:rPr>
          <w:sz w:val="22"/>
        </w:rPr>
        <w:t>In the sections that follow I have addressed the key timing issues and their impact on an Alaskan gas pipeline to the Lower 48.  I have also outlined my view of the requirements to establish a Bipartisan International Coalition designed to ensure expeditious completion of the pipeline project.</w:t>
      </w:r>
    </w:p>
    <w:p>
      <w:pPr>
        <w:pStyle w:val="Normal"/>
        <w:jc w:val="both"/>
        <w:rPr>
          <w:sz w:val="22"/>
        </w:rPr>
      </w:pPr>
      <w:r>
        <w:rPr>
          <w:sz w:val="22"/>
        </w:rPr>
      </w:r>
    </w:p>
    <w:p>
      <w:pPr>
        <w:pStyle w:val="Heading1"/>
        <w:ind w:hanging="0" w:start="0"/>
        <w:jc w:val="both"/>
        <w:rPr>
          <w:sz w:val="22"/>
        </w:rPr>
      </w:pPr>
      <w:r>
        <w:rPr>
          <w:sz w:val="22"/>
        </w:rPr>
        <w:t>I.  Canadian Positions</w:t>
      </w:r>
    </w:p>
    <w:p>
      <w:pPr>
        <w:pStyle w:val="Normal"/>
        <w:jc w:val="both"/>
        <w:rPr>
          <w:sz w:val="22"/>
        </w:rPr>
      </w:pPr>
      <w:r>
        <w:rPr>
          <w:sz w:val="22"/>
        </w:rPr>
      </w:r>
    </w:p>
    <w:p>
      <w:pPr>
        <w:pStyle w:val="Normal"/>
        <w:ind w:firstLine="720" w:end="0"/>
        <w:jc w:val="both"/>
        <w:rPr>
          <w:sz w:val="22"/>
        </w:rPr>
      </w:pPr>
      <w:r>
        <w:rPr>
          <w:sz w:val="22"/>
        </w:rPr>
        <w:t xml:space="preserve">The positions taken by affected Canadian groups on any Alaskan gas pipeline to the Lower 48 will have a major impact on the timing and economics of Alaskan gas commercialization.  Like the Alaskan North Slope, the Canadian Arctic, including the Northwest Territories (NWT), holds potentially enormous gas reserves. These reserves, coupled with advances that have occurred in and among the Government of Canada, the Government of the NWT (GNWT) and Aboriginal groups, create a strong framework that can expedite a pipeline linking Alaskan and Mackenzie Delta reserves to integrated southern markets.  Alternatively, issues that negatively affect critical Canadian groups (potentially including the Crown, the value of whose resources would be lessened by a southern pipeline route) may present major time consuming and, potentially, insurmountable hurdles to a southern route.  </w:t>
      </w:r>
    </w:p>
    <w:p>
      <w:pPr>
        <w:pStyle w:val="Normal"/>
        <w:jc w:val="both"/>
        <w:rPr>
          <w:sz w:val="22"/>
        </w:rPr>
      </w:pPr>
      <w:r>
        <w:rPr>
          <w:sz w:val="22"/>
        </w:rPr>
      </w:r>
    </w:p>
    <w:p>
      <w:pPr>
        <w:pStyle w:val="Normal"/>
        <w:jc w:val="both"/>
        <w:rPr>
          <w:sz w:val="22"/>
        </w:rPr>
      </w:pPr>
      <w:r>
        <w:rPr>
          <w:sz w:val="22"/>
        </w:rPr>
        <w:t xml:space="preserve"> </w:t>
      </w:r>
      <w:r>
        <w:rPr>
          <w:sz w:val="22"/>
        </w:rPr>
        <w:tab/>
        <w:t xml:space="preserve">As you may be aware, Canadian Aboriginal land claim issues and natural resource plans can create difficult issues for which economics may only represent a part of the equation.  In the late 70’s, unresolved Canadian Aboriginal land claim issues in the Northwest Territories resulted in a ten-year development moratorium on energy projects in this region.  This was one of the main reasons the Alaskan southern pipeline route was selected.  Today, critical NWT land claims have been settled, and where there is a pending land claim, a pipeline right of way exists.  Furthermore, the Aboriginal groups of the NWT recognize the need to expeditiously develop their significant stranded gas reserves.  They are now organized and strongly support the development of a pipeline project.  They are also beginning to recognize that an Alaskan southern pipeline route to transport North Slope gas will jeopardize the prospects of much needed development of their resources.  For the region, and Canada, such a route would be damaging to the economic development potential of stranded resources and would, I expect, be vigorously challenged.  I also believe there is a reasonable likelihood that such time consuming challenges may prevail.    </w:t>
      </w:r>
    </w:p>
    <w:p>
      <w:pPr>
        <w:pStyle w:val="Normal"/>
        <w:jc w:val="both"/>
        <w:rPr>
          <w:sz w:val="22"/>
        </w:rPr>
      </w:pPr>
      <w:r>
        <w:rPr>
          <w:sz w:val="22"/>
        </w:rPr>
      </w:r>
    </w:p>
    <w:p>
      <w:pPr>
        <w:pStyle w:val="Normal"/>
        <w:ind w:firstLine="720" w:end="0"/>
        <w:jc w:val="both"/>
        <w:rPr>
          <w:sz w:val="22"/>
        </w:rPr>
      </w:pPr>
      <w:r>
        <w:rPr>
          <w:sz w:val="22"/>
        </w:rPr>
        <w:t xml:space="preserve">Additional challenges to a southern route that traverses southern Yukon and northern British Columbia may also be likely from Aboriginal groups in the region who currently have outstanding land claims and other issues.  These land claims and issues will need to be settled quickly to avoid the long delays that were experienced elsewhere.   </w:t>
      </w:r>
    </w:p>
    <w:p>
      <w:pPr>
        <w:pStyle w:val="Normal"/>
        <w:jc w:val="both"/>
        <w:rPr>
          <w:sz w:val="22"/>
        </w:rPr>
      </w:pPr>
      <w:r>
        <w:rPr>
          <w:sz w:val="22"/>
        </w:rPr>
      </w:r>
    </w:p>
    <w:p>
      <w:pPr>
        <w:pStyle w:val="Normal"/>
        <w:ind w:firstLine="720" w:end="0"/>
        <w:jc w:val="both"/>
        <w:rPr>
          <w:sz w:val="22"/>
        </w:rPr>
      </w:pPr>
      <w:r>
        <w:rPr>
          <w:sz w:val="22"/>
        </w:rPr>
        <w:t xml:space="preserve">Of all of the issues that can materially affect the timing of an Alaskan gas pipeline project to the Lower 48, the Canadian issues are among the most important.  ARC’s Northern Gas Pipeline Project, because of the logical, economic and mutually beneficial service that it provides to both Alaska and Canada, avoids these potentially insurmountable problems.  </w:t>
      </w:r>
    </w:p>
    <w:p>
      <w:pPr>
        <w:pStyle w:val="Normal"/>
        <w:jc w:val="both"/>
        <w:rPr>
          <w:sz w:val="22"/>
        </w:rPr>
      </w:pPr>
      <w:r>
        <w:rPr>
          <w:sz w:val="22"/>
        </w:rPr>
      </w:r>
    </w:p>
    <w:p>
      <w:pPr>
        <w:pStyle w:val="Heading1"/>
        <w:ind w:hanging="0" w:start="0"/>
        <w:jc w:val="both"/>
        <w:rPr>
          <w:sz w:val="22"/>
        </w:rPr>
      </w:pPr>
      <w:r>
        <w:rPr>
          <w:sz w:val="22"/>
        </w:rPr>
        <w:t>II.  Economic Pressures</w:t>
      </w:r>
    </w:p>
    <w:p>
      <w:pPr>
        <w:pStyle w:val="Normal"/>
        <w:jc w:val="both"/>
        <w:rPr>
          <w:sz w:val="22"/>
        </w:rPr>
      </w:pPr>
      <w:r>
        <w:rPr>
          <w:sz w:val="22"/>
        </w:rPr>
      </w:r>
    </w:p>
    <w:p>
      <w:pPr>
        <w:pStyle w:val="Normal"/>
        <w:ind w:firstLine="720" w:end="0"/>
        <w:jc w:val="both"/>
        <w:rPr>
          <w:sz w:val="22"/>
        </w:rPr>
      </w:pPr>
      <w:r>
        <w:rPr>
          <w:sz w:val="22"/>
        </w:rPr>
        <w:t xml:space="preserve">Alaska has long sought to develop its vast natural gas resources.  Indeed, I was a party to many of the analyses prepared over twenty-five years ago when decisions were made in a regulated natural gas environment to pursue a more expensive route while Canadian Aboriginal interests blocked a shorter, less costly route through the Mackenzie Delta. </w:t>
      </w:r>
    </w:p>
    <w:p>
      <w:pPr>
        <w:pStyle w:val="Normal"/>
        <w:jc w:val="both"/>
        <w:rPr>
          <w:sz w:val="22"/>
        </w:rPr>
      </w:pPr>
      <w:r>
        <w:rPr>
          <w:sz w:val="22"/>
        </w:rPr>
      </w:r>
    </w:p>
    <w:p>
      <w:pPr>
        <w:pStyle w:val="Normal"/>
        <w:ind w:firstLine="720" w:end="0"/>
        <w:jc w:val="both"/>
        <w:rPr>
          <w:sz w:val="22"/>
        </w:rPr>
      </w:pPr>
      <w:r>
        <w:rPr>
          <w:sz w:val="22"/>
        </w:rPr>
        <w:t xml:space="preserve">While many things are different today, some things remain constant.  Economics still matter.  Marginal economics based on high gas price assumptions can create the potential for significant, if not insurmountable, delays.  Gas prices are now high by historical standards, but we have seen too many times the wide swings that prices take.  Alaskan natural gas must remain competitive in a very competitive and volatile energy market; otherwise, price declines in advance of project completion will directly affect the ability to complete a viable project.  Additionally, if a completed project is only marginally competitive because of low netbacks and a high tariff structure, gas price declines will result in far greater reductions in production, exploration and development (and employment) than would be the case with a lower tariff pipeline.  </w:t>
      </w:r>
    </w:p>
    <w:p>
      <w:pPr>
        <w:pStyle w:val="Normal"/>
        <w:jc w:val="both"/>
        <w:rPr>
          <w:sz w:val="22"/>
        </w:rPr>
      </w:pPr>
      <w:r>
        <w:rPr>
          <w:sz w:val="22"/>
        </w:rPr>
      </w:r>
    </w:p>
    <w:p>
      <w:pPr>
        <w:pStyle w:val="BodyTextIndent2"/>
        <w:rPr/>
      </w:pPr>
      <w:r>
        <w:rPr/>
        <w:t xml:space="preserve">In summary, the superior economics of ARC’s northern approach (i) will provide far greater netbacks to the State than will a southern route (e.g., over $200 million per year) and (ii) will also protect the timing of project completion and the extent of resource development from natural, yet uncontrollable, natural gas price fluctuations.     </w:t>
      </w:r>
    </w:p>
    <w:p>
      <w:pPr>
        <w:pStyle w:val="Normal"/>
        <w:jc w:val="both"/>
        <w:rPr>
          <w:sz w:val="22"/>
        </w:rPr>
      </w:pPr>
      <w:r>
        <w:rPr>
          <w:sz w:val="22"/>
        </w:rPr>
      </w:r>
    </w:p>
    <w:p>
      <w:pPr>
        <w:pStyle w:val="Heading1"/>
        <w:numPr>
          <w:ilvl w:val="0"/>
          <w:numId w:val="3"/>
        </w:numPr>
        <w:rPr>
          <w:sz w:val="22"/>
        </w:rPr>
      </w:pPr>
      <w:r>
        <w:rPr>
          <w:sz w:val="22"/>
        </w:rPr>
        <w:t>Construction Timing</w:t>
      </w:r>
    </w:p>
    <w:p>
      <w:pPr>
        <w:pStyle w:val="Normal"/>
        <w:rPr>
          <w:sz w:val="22"/>
        </w:rPr>
      </w:pPr>
      <w:r>
        <w:rPr>
          <w:sz w:val="22"/>
        </w:rPr>
      </w:r>
    </w:p>
    <w:p>
      <w:pPr>
        <w:pStyle w:val="Normal"/>
        <w:ind w:firstLine="720" w:end="0"/>
        <w:rPr>
          <w:sz w:val="22"/>
        </w:rPr>
      </w:pPr>
      <w:r>
        <w:rPr>
          <w:sz w:val="22"/>
        </w:rPr>
        <w:t>The construction effort required for either the southern or ARC’s northern route is expected to be nothing less than Herculean.  Either project will require significant involvement from both the Alaskan and Canadian workforce.  We believe that the northern route can be constructed over 24 to 30 months – a time period we understand may be 12 to 24 months faster than that required for a southern route.  The following primary factors will contribute towards the northern route’s more favorable construction timetable:</w:t>
      </w:r>
    </w:p>
    <w:p>
      <w:pPr>
        <w:pStyle w:val="Normal"/>
        <w:ind w:start="360" w:end="0"/>
        <w:rPr>
          <w:sz w:val="22"/>
        </w:rPr>
      </w:pPr>
      <w:r>
        <w:rPr>
          <w:sz w:val="22"/>
        </w:rPr>
      </w:r>
    </w:p>
    <w:p>
      <w:pPr>
        <w:pStyle w:val="Normal"/>
        <w:numPr>
          <w:ilvl w:val="0"/>
          <w:numId w:val="2"/>
        </w:numPr>
        <w:tabs>
          <w:tab w:val="left" w:pos="720" w:leader="none"/>
          <w:tab w:val="left" w:pos="1080" w:leader="none"/>
        </w:tabs>
        <w:ind w:hanging="360" w:start="720" w:end="0"/>
        <w:rPr>
          <w:sz w:val="22"/>
        </w:rPr>
      </w:pPr>
      <w:r>
        <w:rPr>
          <w:sz w:val="22"/>
        </w:rPr>
        <w:t xml:space="preserve">The northern route is through a far less difficult terrain.  The northern route avoids some of North America’s most pristine and challenging mountain ranges. </w:t>
      </w:r>
    </w:p>
    <w:p>
      <w:pPr>
        <w:pStyle w:val="Normal"/>
        <w:ind w:start="1440" w:end="0"/>
        <w:rPr>
          <w:sz w:val="22"/>
        </w:rPr>
      </w:pPr>
      <w:r>
        <w:rPr>
          <w:sz w:val="22"/>
        </w:rPr>
      </w:r>
    </w:p>
    <w:p>
      <w:pPr>
        <w:pStyle w:val="Normal"/>
        <w:numPr>
          <w:ilvl w:val="0"/>
          <w:numId w:val="2"/>
        </w:numPr>
        <w:tabs>
          <w:tab w:val="left" w:pos="720" w:leader="none"/>
          <w:tab w:val="left" w:pos="1080" w:leader="none"/>
        </w:tabs>
        <w:ind w:hanging="360" w:start="720" w:end="0"/>
        <w:rPr>
          <w:sz w:val="22"/>
        </w:rPr>
      </w:pPr>
      <w:r>
        <w:rPr>
          <w:sz w:val="22"/>
        </w:rPr>
        <w:t xml:space="preserve">The northern route is a much shorter distance to major gas pipeline interconnects for delivering the combined North Slope and Mackenzie Delta gas reserves:  Prudhoe Bay to Windfall, Alberta (including a line from Inuvik to deliver Mackenzie Delta gas) is approximately 3,100 miles.  In contrast, ARC’s northern route’s mileage to Edmonton, Alberta from Prudhoe Bay is approximately 1,700 miles resulting in an approximately 1,400 mile shorter trip to market for the combined reserves.  </w:t>
      </w:r>
    </w:p>
    <w:p>
      <w:pPr>
        <w:pStyle w:val="Normal"/>
        <w:ind w:start="720" w:end="0"/>
        <w:rPr>
          <w:sz w:val="22"/>
        </w:rPr>
      </w:pPr>
      <w:r>
        <w:rPr>
          <w:sz w:val="22"/>
        </w:rPr>
      </w:r>
    </w:p>
    <w:p>
      <w:pPr>
        <w:pStyle w:val="Normal"/>
        <w:numPr>
          <w:ilvl w:val="0"/>
          <w:numId w:val="2"/>
        </w:numPr>
        <w:tabs>
          <w:tab w:val="left" w:pos="720" w:leader="none"/>
          <w:tab w:val="left" w:pos="1080" w:leader="none"/>
        </w:tabs>
        <w:ind w:hanging="360" w:start="720" w:end="0"/>
        <w:rPr>
          <w:sz w:val="22"/>
        </w:rPr>
      </w:pPr>
      <w:r>
        <w:rPr>
          <w:sz w:val="22"/>
        </w:rPr>
        <w:t xml:space="preserve">The northern route will not be slowed by (nor interfere with) important commercial and tourist traffic, particularly along the ALCAN highway.  </w:t>
      </w:r>
    </w:p>
    <w:p>
      <w:pPr>
        <w:pStyle w:val="Normal"/>
        <w:rPr>
          <w:sz w:val="22"/>
        </w:rPr>
      </w:pPr>
      <w:r>
        <w:rPr>
          <w:sz w:val="22"/>
        </w:rPr>
      </w:r>
    </w:p>
    <w:p>
      <w:pPr>
        <w:pStyle w:val="Normal"/>
        <w:ind w:firstLine="720" w:end="0"/>
        <w:rPr>
          <w:sz w:val="22"/>
        </w:rPr>
      </w:pPr>
      <w:r>
        <w:rPr>
          <w:sz w:val="22"/>
        </w:rPr>
        <w:t xml:space="preserve">There are neither permitting nor major ecological and/or insurmountable environmental hurdles in Alaska, the Northwest Territories, Beaufort Sea or Alberta.  Importantly, the Northern Gas Pipeline Project proposed by ARC will also have the support of the Government of Canada. </w:t>
      </w:r>
    </w:p>
    <w:p>
      <w:pPr>
        <w:pStyle w:val="Normal"/>
        <w:rPr>
          <w:sz w:val="22"/>
        </w:rPr>
      </w:pPr>
      <w:r>
        <w:rPr>
          <w:sz w:val="22"/>
        </w:rPr>
      </w:r>
    </w:p>
    <w:p>
      <w:pPr>
        <w:pStyle w:val="Normal"/>
        <w:ind w:firstLine="720" w:end="0"/>
        <w:rPr>
          <w:sz w:val="22"/>
        </w:rPr>
      </w:pPr>
      <w:r>
        <w:rPr>
          <w:sz w:val="22"/>
        </w:rPr>
        <w:t xml:space="preserve">Finally, the Northern Gas Pipeline Project will use all North American resources to complete the project.  Therefore, we fully expect that Alaskan companies will be involved in the project efforts in Alaska as well as have the opportunity to be involved in Canada. </w:t>
      </w:r>
    </w:p>
    <w:p>
      <w:pPr>
        <w:pStyle w:val="Heading1"/>
        <w:ind w:hanging="0" w:start="0"/>
        <w:jc w:val="both"/>
        <w:rPr>
          <w:sz w:val="22"/>
        </w:rPr>
      </w:pPr>
      <w:r>
        <w:rPr>
          <w:sz w:val="22"/>
        </w:rPr>
      </w:r>
    </w:p>
    <w:p>
      <w:pPr>
        <w:pStyle w:val="Heading1"/>
        <w:ind w:hanging="0" w:start="0"/>
        <w:jc w:val="both"/>
        <w:rPr>
          <w:sz w:val="22"/>
        </w:rPr>
      </w:pPr>
      <w:r>
        <w:rPr>
          <w:sz w:val="22"/>
        </w:rPr>
        <w:t>IV.  Bipartisan International Coalition</w:t>
      </w:r>
    </w:p>
    <w:p>
      <w:pPr>
        <w:pStyle w:val="Normal"/>
        <w:jc w:val="both"/>
        <w:rPr>
          <w:sz w:val="22"/>
        </w:rPr>
      </w:pPr>
      <w:r>
        <w:rPr>
          <w:sz w:val="22"/>
        </w:rPr>
      </w:r>
    </w:p>
    <w:p>
      <w:pPr>
        <w:pStyle w:val="Normal"/>
        <w:ind w:firstLine="720" w:end="0"/>
        <w:jc w:val="both"/>
        <w:rPr>
          <w:sz w:val="22"/>
        </w:rPr>
      </w:pPr>
      <w:r>
        <w:rPr>
          <w:sz w:val="22"/>
        </w:rPr>
        <w:t>The absolute fastest way to connect North Slope natural gas reserves to the Lower 48 will be to create a Bipartisan International Coalition to expedite, perhaps legislatively, the development, permitting, and construction of the line.  I believe, however, there are several key project requirements that must be met for such a coalition to be successfully formed and to be effective.  The project must:</w:t>
      </w:r>
    </w:p>
    <w:p>
      <w:pPr>
        <w:pStyle w:val="Normal"/>
        <w:jc w:val="both"/>
        <w:rPr>
          <w:sz w:val="22"/>
        </w:rPr>
      </w:pPr>
      <w:r>
        <w:rPr>
          <w:sz w:val="22"/>
        </w:rPr>
      </w:r>
    </w:p>
    <w:p>
      <w:pPr>
        <w:pStyle w:val="Normal"/>
        <w:numPr>
          <w:ilvl w:val="0"/>
          <w:numId w:val="4"/>
        </w:numPr>
        <w:jc w:val="both"/>
        <w:rPr>
          <w:sz w:val="22"/>
        </w:rPr>
      </w:pPr>
      <w:r>
        <w:rPr>
          <w:sz w:val="22"/>
        </w:rPr>
        <w:t xml:space="preserve">Be fundamentally and economically sound (viable even with lower gas prices); </w:t>
      </w:r>
    </w:p>
    <w:p>
      <w:pPr>
        <w:pStyle w:val="Normal"/>
        <w:numPr>
          <w:ilvl w:val="0"/>
          <w:numId w:val="4"/>
        </w:numPr>
        <w:jc w:val="both"/>
        <w:rPr>
          <w:sz w:val="22"/>
        </w:rPr>
      </w:pPr>
      <w:r>
        <w:rPr>
          <w:sz w:val="22"/>
        </w:rPr>
        <w:t>Provide an important service to Canada, the U.S., and Alaska;</w:t>
      </w:r>
    </w:p>
    <w:p>
      <w:pPr>
        <w:pStyle w:val="Normal"/>
        <w:numPr>
          <w:ilvl w:val="0"/>
          <w:numId w:val="4"/>
        </w:numPr>
        <w:jc w:val="both"/>
        <w:rPr>
          <w:sz w:val="22"/>
        </w:rPr>
      </w:pPr>
      <w:r>
        <w:rPr>
          <w:sz w:val="22"/>
        </w:rPr>
        <w:t>Not harm the resource value of either Alaska or Canada;</w:t>
      </w:r>
    </w:p>
    <w:p>
      <w:pPr>
        <w:pStyle w:val="Normal"/>
        <w:numPr>
          <w:ilvl w:val="0"/>
          <w:numId w:val="4"/>
        </w:numPr>
        <w:jc w:val="both"/>
        <w:rPr>
          <w:sz w:val="22"/>
        </w:rPr>
      </w:pPr>
      <w:r>
        <w:rPr>
          <w:sz w:val="22"/>
        </w:rPr>
        <w:t>Increase the royalty and tax revenue potential of both countries and Alaska;</w:t>
      </w:r>
    </w:p>
    <w:p>
      <w:pPr>
        <w:pStyle w:val="Normal"/>
        <w:numPr>
          <w:ilvl w:val="0"/>
          <w:numId w:val="4"/>
        </w:numPr>
        <w:jc w:val="both"/>
        <w:rPr>
          <w:sz w:val="22"/>
        </w:rPr>
      </w:pPr>
      <w:r>
        <w:rPr>
          <w:sz w:val="22"/>
        </w:rPr>
        <w:t>Maximize the pool of natural gas reserves to which downstream gas markets will be connected;</w:t>
      </w:r>
    </w:p>
    <w:p>
      <w:pPr>
        <w:pStyle w:val="Normal"/>
        <w:numPr>
          <w:ilvl w:val="0"/>
          <w:numId w:val="4"/>
        </w:numPr>
        <w:jc w:val="both"/>
        <w:rPr>
          <w:sz w:val="22"/>
        </w:rPr>
      </w:pPr>
      <w:r>
        <w:rPr>
          <w:sz w:val="22"/>
        </w:rPr>
        <w:t>Be acceptable to the capital markets, but not be viewed as benefiting a limited number of vested interests and, therefore, potentially discouraging Arctic E&amp;P competition.</w:t>
      </w:r>
    </w:p>
    <w:p>
      <w:pPr>
        <w:pStyle w:val="Normal"/>
        <w:numPr>
          <w:ilvl w:val="0"/>
          <w:numId w:val="4"/>
        </w:numPr>
        <w:jc w:val="both"/>
        <w:rPr>
          <w:sz w:val="22"/>
        </w:rPr>
      </w:pPr>
      <w:r>
        <w:rPr>
          <w:sz w:val="22"/>
        </w:rPr>
        <w:t>Be responsive to the economic growth and environmental issues of the U. S. and Canada, as well as Alaska and the NWT.</w:t>
      </w:r>
    </w:p>
    <w:p>
      <w:pPr>
        <w:pStyle w:val="Normal"/>
        <w:numPr>
          <w:ilvl w:val="0"/>
          <w:numId w:val="4"/>
        </w:numPr>
        <w:jc w:val="both"/>
        <w:rPr>
          <w:sz w:val="22"/>
        </w:rPr>
      </w:pPr>
      <w:r>
        <w:rPr>
          <w:sz w:val="22"/>
        </w:rPr>
        <w:t xml:space="preserve">Be fair to Alaskan Native and Canadian Aboriginal groups, but also be fair to producers and shippers. </w:t>
      </w:r>
    </w:p>
    <w:p>
      <w:pPr>
        <w:pStyle w:val="Normal"/>
        <w:ind w:start="360" w:end="0"/>
        <w:jc w:val="both"/>
        <w:rPr>
          <w:sz w:val="22"/>
        </w:rPr>
      </w:pPr>
      <w:r>
        <w:rPr>
          <w:sz w:val="22"/>
        </w:rPr>
      </w:r>
    </w:p>
    <w:p>
      <w:pPr>
        <w:pStyle w:val="Normal"/>
        <w:ind w:firstLine="720" w:end="0"/>
        <w:jc w:val="both"/>
        <w:rPr/>
      </w:pPr>
      <w:r>
        <w:rPr>
          <w:sz w:val="22"/>
        </w:rPr>
        <w:t xml:space="preserve">The ARC approach (including its route, planned local pipeline ownership, planned ownership consortium, economics, and Alaskan gas supply strategies) represents the only project that can meet the above noted requirements to enable a Bipartisan International Coalition to truly expedite the construction of a North Slope pipeline to the Lower 48.  I believe that with your assistance and support such a coalition can be formed, with Federal legislative support forthcoming by early 2001.  </w:t>
      </w:r>
      <w:r>
        <w:rPr>
          <w:b/>
          <w:sz w:val="22"/>
        </w:rPr>
        <w:t>In fact, if the North Slope producers and the State of Alaska support such a consortium, all other interested parties will be compelled to join, thereby ensuring expeditious project completion.</w:t>
      </w:r>
      <w:r>
        <w:rPr>
          <w:sz w:val="22"/>
        </w:rPr>
        <w:t xml:space="preserve">  </w:t>
      </w:r>
    </w:p>
    <w:p>
      <w:pPr>
        <w:pStyle w:val="Normal"/>
        <w:jc w:val="both"/>
        <w:rPr>
          <w:sz w:val="22"/>
        </w:rPr>
      </w:pPr>
      <w:r>
        <w:rPr>
          <w:sz w:val="22"/>
        </w:rPr>
      </w:r>
    </w:p>
    <w:p>
      <w:pPr>
        <w:pStyle w:val="Heading1"/>
        <w:ind w:hanging="0" w:start="0"/>
        <w:jc w:val="both"/>
        <w:rPr>
          <w:sz w:val="22"/>
        </w:rPr>
      </w:pPr>
      <w:r>
        <w:rPr>
          <w:sz w:val="22"/>
        </w:rPr>
        <w:t>V.  Permitting</w:t>
      </w:r>
    </w:p>
    <w:p>
      <w:pPr>
        <w:pStyle w:val="Normal"/>
        <w:jc w:val="both"/>
        <w:rPr>
          <w:sz w:val="22"/>
        </w:rPr>
      </w:pPr>
      <w:r>
        <w:rPr>
          <w:sz w:val="22"/>
        </w:rPr>
      </w:r>
    </w:p>
    <w:p>
      <w:pPr>
        <w:pStyle w:val="BodyTextIndent"/>
        <w:rPr>
          <w:sz w:val="22"/>
        </w:rPr>
      </w:pPr>
      <w:r>
        <w:rPr>
          <w:sz w:val="22"/>
        </w:rPr>
        <w:t>Both of the major pipeline route alternatives will have need of extensive permitting requirements.  Environmental and permitting standards by both U. S. and Canadian regulators have changed since 1979 when previous permits were obtained.  The original bilateral agreements between the U. S. and Canada were developed on the basis of specific plans and, importantly, deliverable volumes that included capacity from the Mackenzie Delta.  In the ANGTS case, extensive, additional permitting would be required because not all of the permits were obtained in the past and because the currently proposed line is materially different than prior submissions.   Furthermore, the regulatory regime and permitting requirements have significantly changed since 1979.  The environmental requirements, as overseen by the Canadian Environmental Assessment Agency (CEAA) did not exist in the late 1970’s.  Therefore, all projects of this nature and magnitude will have to be reviewed by CEAA.</w:t>
      </w:r>
    </w:p>
    <w:p>
      <w:pPr>
        <w:pStyle w:val="Normal"/>
        <w:jc w:val="both"/>
        <w:rPr>
          <w:sz w:val="22"/>
        </w:rPr>
      </w:pPr>
      <w:r>
        <w:rPr>
          <w:sz w:val="22"/>
        </w:rPr>
      </w:r>
    </w:p>
    <w:p>
      <w:pPr>
        <w:pStyle w:val="Normal"/>
        <w:ind w:firstLine="720" w:end="0"/>
        <w:jc w:val="both"/>
        <w:rPr>
          <w:sz w:val="22"/>
        </w:rPr>
      </w:pPr>
      <w:r>
        <w:rPr>
          <w:sz w:val="22"/>
        </w:rPr>
        <w:t>Regarding the ARC approach, we have assumed that the entire permitting process for the northern route can be completed in 24 to 30 months from project start.  We anticipate that ARC’s permitting will be facilitated by several important factors.  First, the vast majority of the pipeline will actually traverse through existing pipeline rights of way in Canada.  Second, the proposed Aboriginal ownership and involvement, along with expected support of the GNWT and the government of Canada, will facilitate the Canadian permitting process.  Canadian regulators are now reviewing the current permitting process in order to expedite a northern pipeline project.  Third, every regulator has concluded, after discussions with us, that our route, including the offshore portion, poses no insurmountable problems.  Finally, we believe that the permitting process of our route will be aided and expedited by the Bipartisan International Coalition noted herein, along with legislative assistance that we believe to be achievable, provided that the conditions can be met.</w:t>
      </w:r>
    </w:p>
    <w:p>
      <w:pPr>
        <w:pStyle w:val="Normal"/>
        <w:jc w:val="both"/>
        <w:rPr>
          <w:sz w:val="22"/>
        </w:rPr>
      </w:pPr>
      <w:r>
        <w:rPr>
          <w:sz w:val="22"/>
        </w:rPr>
      </w:r>
    </w:p>
    <w:p>
      <w:pPr>
        <w:pStyle w:val="Heading1"/>
        <w:ind w:hanging="0" w:start="0"/>
        <w:jc w:val="both"/>
        <w:rPr>
          <w:sz w:val="22"/>
        </w:rPr>
      </w:pPr>
      <w:r>
        <w:rPr>
          <w:sz w:val="22"/>
        </w:rPr>
        <w:t>VI.  Conclusion</w:t>
      </w:r>
    </w:p>
    <w:p>
      <w:pPr>
        <w:pStyle w:val="Normal"/>
        <w:jc w:val="both"/>
        <w:rPr>
          <w:sz w:val="22"/>
        </w:rPr>
      </w:pPr>
      <w:r>
        <w:rPr>
          <w:sz w:val="22"/>
        </w:rPr>
      </w:r>
    </w:p>
    <w:p>
      <w:pPr>
        <w:pStyle w:val="Normal"/>
        <w:ind w:firstLine="720" w:end="0"/>
        <w:jc w:val="both"/>
        <w:rPr>
          <w:sz w:val="22"/>
        </w:rPr>
      </w:pPr>
      <w:r>
        <w:rPr>
          <w:sz w:val="22"/>
        </w:rPr>
        <w:t>In summary, there are hurdles that will affect the timely completion of any gas pipeline to the Lower 48.  I believe that the hurdles faced by the two primary pipeline route alternatives are very different.  In fact, the hurdles are less restrictive for the ARC approach than are those for the southern route.  ARC’s construction period will be materially shorter and less expensive than a southern route.  The route is shorter, avoids mountains, offers more year-round construction opportunities, and will not have the interruptions that would result from mixing major construction with tourist and commercial traffic along the ALCAN highway.  Finally, ARC’s northern route minimizes the possibility of time consuming and potentially insurmountable hurdles that a southern route will surely face from strained economics and Canadian challenges.</w:t>
      </w:r>
    </w:p>
    <w:p>
      <w:pPr>
        <w:pStyle w:val="Normal"/>
        <w:ind w:firstLine="720" w:end="0"/>
        <w:jc w:val="both"/>
        <w:rPr>
          <w:sz w:val="22"/>
        </w:rPr>
      </w:pPr>
      <w:r>
        <w:rPr>
          <w:sz w:val="22"/>
        </w:rPr>
      </w:r>
    </w:p>
    <w:p>
      <w:pPr>
        <w:pStyle w:val="Normal"/>
        <w:ind w:firstLine="720" w:end="0"/>
        <w:jc w:val="both"/>
        <w:rPr>
          <w:sz w:val="22"/>
        </w:rPr>
      </w:pPr>
      <w:r>
        <w:rPr>
          <w:sz w:val="22"/>
        </w:rPr>
        <w:t>ARC can help Alaska with these hurdles while also maximizing the return to the citizens of Alaska.  We want to work with the State to ensure that this international gas project hires and trains Alaskans while offering the State and producers the potential to maximize revenues through a more economical project.  And, finally, ARC reiterates its desire to work with the State to address gas supplies to Alaskan communities through the several available alternatives that this project can help make viable.</w:t>
      </w:r>
    </w:p>
    <w:p>
      <w:pPr>
        <w:pStyle w:val="Normal"/>
        <w:ind w:firstLine="720" w:end="0"/>
        <w:jc w:val="both"/>
        <w:rPr>
          <w:sz w:val="22"/>
        </w:rPr>
      </w:pPr>
      <w:r>
        <w:rPr>
          <w:sz w:val="22"/>
        </w:rPr>
      </w:r>
    </w:p>
    <w:p>
      <w:pPr>
        <w:pStyle w:val="Normal"/>
        <w:ind w:firstLine="720" w:end="0"/>
        <w:jc w:val="both"/>
        <w:rPr>
          <w:sz w:val="22"/>
        </w:rPr>
      </w:pPr>
      <w:r>
        <w:rPr>
          <w:sz w:val="22"/>
        </w:rPr>
        <w:t xml:space="preserve">We appreciate your continued interest in this project and in ARC, and we look forward to working with you and other State leaders.   </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ab/>
        <w:tab/>
        <w:tab/>
        <w:tab/>
        <w:tab/>
        <w:t>Very truly yours,</w:t>
      </w:r>
    </w:p>
    <w:p>
      <w:pPr>
        <w:pStyle w:val="Normal"/>
        <w:rPr>
          <w:sz w:val="22"/>
        </w:rPr>
      </w:pPr>
      <w:r>
        <w:rPr>
          <w:sz w:val="22"/>
        </w:rPr>
      </w:r>
    </w:p>
    <w:p>
      <w:pPr>
        <w:pStyle w:val="Normal"/>
        <w:rPr>
          <w:sz w:val="22"/>
        </w:rPr>
      </w:pPr>
      <w:r>
        <w:rPr>
          <w:sz w:val="22"/>
        </w:rPr>
      </w:r>
    </w:p>
    <w:p>
      <w:pPr>
        <w:pStyle w:val="Normal"/>
        <w:rPr>
          <w:sz w:val="22"/>
        </w:rPr>
      </w:pPr>
      <w:r>
        <w:rPr>
          <w:sz w:val="22"/>
        </w:rPr>
        <w:tab/>
        <w:tab/>
        <w:tab/>
        <w:tab/>
        <w:tab/>
        <w:t>/s/ Forrest E. Hoglund</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t>c:</w:t>
        <w:tab/>
        <w:t>Senator Frank H. Murkowski – United States Senate</w:t>
      </w:r>
    </w:p>
    <w:p>
      <w:pPr>
        <w:pStyle w:val="Normal"/>
        <w:ind w:firstLine="720" w:end="0"/>
        <w:rPr>
          <w:sz w:val="22"/>
        </w:rPr>
      </w:pPr>
      <w:r>
        <w:rPr>
          <w:sz w:val="22"/>
        </w:rPr>
        <w:t>Senator Ted Stevens – United States Senate</w:t>
      </w:r>
    </w:p>
    <w:p>
      <w:pPr>
        <w:pStyle w:val="Normal"/>
        <w:ind w:firstLine="720" w:end="0"/>
        <w:rPr>
          <w:sz w:val="22"/>
        </w:rPr>
      </w:pPr>
      <w:r>
        <w:rPr>
          <w:sz w:val="22"/>
        </w:rPr>
        <w:t xml:space="preserve">Representative Don Young – United States Congress </w:t>
      </w:r>
    </w:p>
    <w:p>
      <w:pPr>
        <w:pStyle w:val="Normal"/>
        <w:ind w:firstLine="720" w:end="0"/>
        <w:rPr>
          <w:sz w:val="22"/>
        </w:rPr>
      </w:pPr>
      <w:r>
        <w:rPr>
          <w:sz w:val="22"/>
        </w:rPr>
        <w:t>Lt. Governor Fran Ulmer</w:t>
      </w:r>
    </w:p>
    <w:p>
      <w:pPr>
        <w:pStyle w:val="Normal"/>
        <w:ind w:firstLine="720" w:end="0"/>
        <w:rPr>
          <w:sz w:val="22"/>
        </w:rPr>
      </w:pPr>
      <w:r>
        <w:rPr>
          <w:sz w:val="22"/>
        </w:rPr>
        <w:t>Commissioner Wilson L. Condon – Department of Revenue</w:t>
      </w:r>
    </w:p>
    <w:p>
      <w:pPr>
        <w:pStyle w:val="Normal"/>
        <w:ind w:firstLine="720" w:end="0"/>
        <w:rPr>
          <w:sz w:val="22"/>
        </w:rPr>
      </w:pPr>
      <w:r>
        <w:rPr>
          <w:sz w:val="22"/>
        </w:rPr>
        <w:t>Commissioner Michele D. Brown – Department of Environmental Conservation</w:t>
      </w:r>
    </w:p>
    <w:p>
      <w:pPr>
        <w:pStyle w:val="Normal"/>
        <w:ind w:firstLine="720" w:end="0"/>
        <w:rPr>
          <w:sz w:val="22"/>
        </w:rPr>
      </w:pPr>
      <w:r>
        <w:rPr>
          <w:sz w:val="22"/>
        </w:rPr>
        <w:t>Commissioner Pat Pourchot – Department of Natural Resources</w:t>
      </w:r>
    </w:p>
    <w:p>
      <w:pPr>
        <w:pStyle w:val="Normal"/>
        <w:ind w:firstLine="720" w:end="0"/>
        <w:rPr>
          <w:sz w:val="22"/>
        </w:rPr>
      </w:pPr>
      <w:r>
        <w:rPr>
          <w:sz w:val="22"/>
        </w:rPr>
        <w:t>Mr. Michael K. Abbott – Economic Development, Office of the Governor</w:t>
      </w:r>
    </w:p>
    <w:p>
      <w:pPr>
        <w:pStyle w:val="Normal"/>
        <w:ind w:firstLine="720" w:end="0"/>
        <w:rPr>
          <w:sz w:val="22"/>
        </w:rPr>
      </w:pPr>
      <w:r>
        <w:rPr>
          <w:sz w:val="22"/>
        </w:rPr>
        <w:t>Mr. John W. Katz – Alaska Governor’s Office in Washington</w:t>
      </w:r>
    </w:p>
    <w:p>
      <w:pPr>
        <w:pStyle w:val="Normal"/>
        <w:ind w:firstLine="720" w:end="0"/>
        <w:rPr>
          <w:sz w:val="22"/>
        </w:rPr>
      </w:pPr>
      <w:r>
        <w:rPr>
          <w:sz w:val="22"/>
        </w:rPr>
        <w:t>Mr. Roger Marks – Petroleum Economist, Department of Revenue</w:t>
      </w:r>
    </w:p>
    <w:p>
      <w:pPr>
        <w:pStyle w:val="Normal"/>
        <w:ind w:firstLine="720" w:end="0"/>
        <w:rPr>
          <w:sz w:val="22"/>
        </w:rPr>
      </w:pPr>
      <w:r>
        <w:rPr>
          <w:sz w:val="22"/>
        </w:rPr>
        <w:t>Mayor George N. Ahmaogak, Sr. – Mayor, North Slope Borough</w:t>
      </w:r>
    </w:p>
    <w:p>
      <w:pPr>
        <w:pStyle w:val="Normal"/>
        <w:ind w:firstLine="720" w:end="0"/>
        <w:rPr>
          <w:sz w:val="22"/>
        </w:rPr>
      </w:pPr>
      <w:r>
        <w:rPr>
          <w:sz w:val="22"/>
        </w:rPr>
      </w:r>
    </w:p>
    <w:sectPr>
      <w:headerReference w:type="default" r:id="rId2"/>
      <w:headerReference w:type="first" r:id="rId3"/>
      <w:footerReference w:type="default" r:id="rId4"/>
      <w:footerReference w:type="first" r:id="rId5"/>
      <w:type w:val="nextPage"/>
      <w:pgSz w:w="12240" w:h="15840"/>
      <w:pgMar w:left="1800" w:right="180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w:instrText>
    </w:r>
    <w:r>
      <w:rPr>
        <w:sz w:val="12"/>
      </w:rPr>
      <w:fldChar w:fldCharType="separate"/>
    </w:r>
    <w:r>
      <w:rPr>
        <w:sz w:val="12"/>
      </w:rPr>
      <w:t>Knowles110900.doc</w:t>
    </w:r>
    <w:r>
      <w:rP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8"/>
      </w:rPr>
    </w:pPr>
    <w:r>
      <w:rPr>
        <w:sz w:val="18"/>
      </w:rPr>
      <w:t>__________________________________________</w:t>
    </w:r>
  </w:p>
  <w:p>
    <w:pPr>
      <w:pStyle w:val="Footer"/>
      <w:jc w:val="center"/>
      <w:rPr>
        <w:sz w:val="18"/>
      </w:rPr>
    </w:pPr>
    <w:r>
      <w:rPr>
        <w:sz w:val="18"/>
      </w:rPr>
      <w:t>Arctic Resources Company</w:t>
    </w:r>
  </w:p>
  <w:p>
    <w:pPr>
      <w:pStyle w:val="Footer"/>
      <w:jc w:val="center"/>
      <w:rPr>
        <w:sz w:val="18"/>
      </w:rPr>
    </w:pPr>
    <w:r>
      <w:rPr>
        <w:sz w:val="18"/>
      </w:rPr>
      <w:t>Three Riverway, Suite 1375</w:t>
    </w:r>
  </w:p>
  <w:p>
    <w:pPr>
      <w:pStyle w:val="Footer"/>
      <w:jc w:val="center"/>
      <w:rPr>
        <w:sz w:val="18"/>
      </w:rPr>
    </w:pPr>
    <w:r>
      <w:rPr>
        <w:sz w:val="18"/>
      </w:rPr>
      <w:t>Houston, Texas  77056</w:t>
    </w:r>
  </w:p>
  <w:p>
    <w:pPr>
      <w:pStyle w:val="Footer"/>
      <w:jc w:val="center"/>
      <w:rPr>
        <w:sz w:val="18"/>
      </w:rPr>
    </w:pPr>
    <w:r>
      <w:rPr>
        <w:sz w:val="18"/>
      </w:rPr>
      <w:t>Phone: (713) 888-3310 •  Fax: (713) 888-0239</w:t>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2"/>
      </w:rPr>
    </w:pPr>
    <w:r>
      <w:rPr>
        <w:sz w:val="22"/>
      </w:rPr>
      <w:t>The Honorable Tony Knowles</w:t>
    </w:r>
  </w:p>
  <w:p>
    <w:pPr>
      <w:pStyle w:val="Header"/>
      <w:rPr>
        <w:sz w:val="22"/>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5</w:t>
    </w:r>
    <w:r>
      <w:rPr>
        <w:rStyle w:val="PageNumber"/>
        <w:sz w:val="22"/>
      </w:rPr>
      <w:fldChar w:fldCharType="end"/>
    </w:r>
  </w:p>
  <w:p>
    <w:pPr>
      <w:pStyle w:val="Header"/>
      <w:rPr>
        <w:sz w:val="24"/>
      </w:rPr>
    </w:pPr>
    <w:r>
      <w:rPr>
        <w:sz w:val="24"/>
      </w:rPr>
    </w:r>
  </w:p>
  <w:p>
    <w:pPr>
      <w:pStyle w:val="Header"/>
      <w:rPr>
        <w:sz w:val="24"/>
      </w:rPr>
    </w:pPr>
    <w:r>
      <w:rPr>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n-CA" w:eastAsia="en-CA"/>
      </w:rPr>
    </w:pPr>
    <w:r>
      <w:rPr>
        <w:lang w:val="en-CA" w:eastAsia="en-CA"/>
      </w:rPr>
      <w:object w:dxaOrig="2037" w:dyaOrig="1248">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162pt;margin-top:0pt;width:108pt;height:66.15pt;mso-wrap-distance-left:9.05pt;mso-wrap-distance-right:9.05pt;mso-position-horizontal-relative:text;mso-position-vertical-relative:text" filled="f" o:ole="">
          <v:imagedata r:id="rId2" o:title=""/>
          <w10:wrap type="topAndBottom"/>
        </v:shape>
        <o:OLEObject Type="Embed" ProgID="" ShapeID="ole_rId1" DrawAspect="Content" ObjectID="_355509524" r:id="rId1"/>
      </w:objec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start w:val="3"/>
      <w:numFmt w:val="upperRoman"/>
      <w:lvlText w:val="%1."/>
      <w:lvlJc w:val="start"/>
      <w:pPr>
        <w:tabs>
          <w:tab w:val="num" w:pos="720"/>
        </w:tabs>
        <w:ind w:start="720" w:hanging="720"/>
      </w:pPr>
      <w:rPr/>
    </w:lvl>
  </w:abstractNum>
  <w:abstractNum w:abstractNumId="4">
    <w:lvl w:ilvl="0">
      <w:start w:val="1"/>
      <w:numFmt w:val="decimal"/>
      <w:lvlText w:val="%1."/>
      <w:lvlJc w:val="start"/>
      <w:pPr>
        <w:tabs>
          <w:tab w:val="num" w:pos="720"/>
        </w:tabs>
        <w:ind w:start="720" w:hanging="360"/>
      </w:p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u w:val="single"/>
    </w:rPr>
  </w:style>
  <w:style w:type="paragraph" w:styleId="Heading2">
    <w:name w:val="heading 2"/>
    <w:basedOn w:val="Normal"/>
    <w:next w:val="Normal"/>
    <w:qFormat/>
    <w:pPr>
      <w:keepNext w:val="true"/>
      <w:numPr>
        <w:ilvl w:val="1"/>
        <w:numId w:val="1"/>
      </w:numPr>
      <w:jc w:val="both"/>
      <w:outlineLvl w:val="1"/>
    </w:pPr>
    <w:rPr>
      <w:rFonts w:ascii="Arial" w:hAnsi="Arial" w:cs="Arial"/>
      <w:b/>
      <w:i/>
    </w:rPr>
  </w:style>
  <w:style w:type="paragraph" w:styleId="Heading4">
    <w:name w:val="heading 4"/>
    <w:basedOn w:val="Normal"/>
    <w:next w:val="Normal"/>
    <w:qFormat/>
    <w:pPr>
      <w:keepNext w:val="true"/>
      <w:numPr>
        <w:ilvl w:val="3"/>
        <w:numId w:val="1"/>
      </w:numPr>
      <w:jc w:val="both"/>
      <w:outlineLvl w:val="3"/>
    </w:pPr>
    <w:rPr>
      <w:sz w:val="24"/>
    </w:rPr>
  </w:style>
  <w:style w:type="character" w:styleId="WW8Num2z0">
    <w:name w:val="WW8Num2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firstLine="720" w:start="0" w:end="0"/>
      <w:jc w:val="both"/>
    </w:pPr>
    <w:rPr>
      <w:sz w:val="24"/>
    </w:rPr>
  </w:style>
  <w:style w:type="paragraph" w:styleId="BodyTextIndent2">
    <w:name w:val="Body Text Indent 2"/>
    <w:basedOn w:val="Normal"/>
    <w:qFormat/>
    <w:pPr>
      <w:ind w:firstLine="720" w:start="0" w:end="0"/>
      <w:jc w:val="both"/>
    </w:pPr>
    <w:rPr>
      <w:sz w:val="22"/>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2000-11-10T11:49:00Z</dcterms:created>
  <dc:creator>Bart Baker</dc:creator>
  <dc:description/>
  <dc:language>en-CA</dc:language>
  <cp:lastModifiedBy>Default</cp:lastModifiedBy>
  <cp:lastPrinted>2000-11-10T08:17:00Z</cp:lastPrinted>
  <dcterms:modified xsi:type="dcterms:W3CDTF">2000-11-10T11:49:00Z</dcterms:modified>
  <cp:revision>2</cp:revision>
  <dc:subject/>
  <dc:title>Forrest E</dc:title>
</cp:coreProperties>
</file>