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Knauf Fiber Glass GmbH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r>
              <w:rPr/>
              <w:t xml:space="preserve"> </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pPr>
            <w:r>
              <w:rPr>
                <w:rFonts w:eastAsia="WP IconicSymbolsA" w:cs="WP IconicSymbolsA" w:ascii="WP IconicSymbolsA" w:hAnsi="WP IconicSymbolsA"/>
                <w:b/>
              </w:rPr>
              <w:sym w:font="WP IconicSymbolsA" w:char="f03a"/>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rFonts w:eastAsia="WP IconicSymbolsA" w:cs="WP IconicSymbolsA" w:ascii="WP IconicSymbolsA" w:hAnsi="WP IconicSymbolsA"/>
                <w:b/>
              </w:rPr>
              <w:sym w:font="WP IconicSymbolsA" w:char="f03a"/>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P IconicSymbolsA" w:cs="WP IconicSymbolsA" w:ascii="WP IconicSymbolsA" w:hAnsi="WP IconicSymbolsA"/>
                <w:b/>
              </w:rPr>
              <w:sym w:font="WP IconicSymbolsA" w:char="f03a"/>
            </w: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P IconicSymbolsA" w:cs="WP IconicSymbolsA" w:ascii="WP IconicSymbolsA" w:hAnsi="WP IconicSymbolsA"/>
                <w:b/>
              </w:rPr>
              <w:sym w:font="WP IconicSymbolsA" w:char="f03a"/>
            </w: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b/>
                <w:sz w:val="20"/>
              </w:rPr>
              <w:t xml:space="preserve"> [TBD]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 xml:space="preserve">Other Entity: </w:t>
            </w:r>
            <w:r>
              <w:rPr>
                <w:b/>
                <w:sz w:val="20"/>
              </w:rPr>
              <w:t>[TBD]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WP IconicSymbolsA" w:cs="WP IconicSymbolsA" w:ascii="WP IconicSymbolsA" w:hAnsi="WP IconicSymbolsA"/>
                <w:b/>
              </w:rPr>
              <w:sym w:font="WP IconicSymbolsA" w:char="f03a"/>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sz w:val="20"/>
              </w:rPr>
            </w:pPr>
            <w:r>
              <w:rPr>
                <w:rStyle w:val="ParaNum"/>
                <w:sz w:val="20"/>
              </w:rPr>
              <w:t>(a)</w:t>
            </w:r>
            <w:r>
              <w:rPr>
                <w:sz w:val="20"/>
              </w:rPr>
              <w:t xml:space="preserve">  Financial Information: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P IconicSymbolsA" w:cs="WP IconicSymbolsA" w:ascii="WP IconicSymbolsA" w:hAnsi="WP IconicSymbolsA"/>
                <w:b/>
              </w:rPr>
              <w:sym w:font="WP IconicSymbolsA" w:char="f03a"/>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WP IconicSymbolsA" w:cs="WP IconicSymbolsA" w:ascii="WP IconicSymbolsA" w:hAnsi="WP IconicSymbolsA"/>
                <w:b/>
              </w:rPr>
              <w:sym w:font="WP IconicSymbolsA" w:char="f03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B Collateral Threshold: $ </w:t>
            </w:r>
            <w:r>
              <w:rPr>
                <w:b/>
                <w:sz w:val="20"/>
              </w:rPr>
              <w:t>[TBD]</w:t>
            </w:r>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sz w:val="20"/>
              </w:rPr>
              <w:t></w:t>
            </w:r>
            <w:r>
              <w:rPr>
                <w:sz w:val="20"/>
              </w:rPr>
              <w:tab/>
              <w:t>Not Applicable</w:t>
              <w:br/>
            </w:r>
            <w:r>
              <w:rPr>
                <w:rFonts w:eastAsia="WP IconicSymbolsA" w:cs="WP IconicSymbolsA" w:ascii="WP IconicSymbolsA" w:hAnsi="WP IconicSymbolsA"/>
                <w:b/>
              </w:rPr>
              <w:sym w:font="WP IconicSymbolsA" w:char="f03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sz w:val="20"/>
              </w:rPr>
              <w:t>[TBD]</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sz w:val="20"/>
              </w:rPr>
            </w:pPr>
            <w:r>
              <w:rPr>
                <w:rStyle w:val="ParaNum"/>
                <w:sz w:val="20"/>
              </w:rPr>
              <w:t>(a)</w:t>
            </w:r>
            <w:r>
              <w:rPr>
                <w:sz w:val="20"/>
              </w:rPr>
              <w:t xml:space="preserve">  Financial Information:  </w:t>
            </w:r>
            <w:r>
              <w:rPr>
                <w:b/>
                <w:sz w:val="20"/>
              </w:rPr>
              <w:t>[TBD]</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r>
            <w:r>
              <w:rPr>
                <w:rFonts w:eastAsia="WP IconicSymbolsA" w:cs="WP IconicSymbolsA" w:ascii="WP IconicSymbolsA" w:hAnsi="WP IconicSymbolsA"/>
                <w:b/>
              </w:rPr>
              <w:sym w:font="WP IconicSymbolsA" w:char="f03a"/>
            </w:r>
            <w:r>
              <w:rPr>
                <w:sz w:val="20"/>
              </w:rPr>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WP IconicSymbolsA" w:cs="WP IconicSymbolsA" w:ascii="WP IconicSymbolsA" w:hAnsi="WP IconicSymbolsA"/>
                <w:b/>
              </w:rPr>
              <w:sym w:font="WP IconicSymbolsA" w:char="f03a"/>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WP IconicSymbolsA" w:cs="WP IconicSymbolsA" w:ascii="WP IconicSymbolsA" w:hAnsi="WP IconicSymbolsA"/>
                <w:b/>
              </w:rPr>
              <w:sym w:font="WP IconicSymbolsA" w:char="f03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A Collateral Threshold: $ </w:t>
            </w:r>
            <w:r>
              <w:rPr>
                <w:b/>
                <w:sz w:val="20"/>
              </w:rPr>
              <w:t>[TBD]</w:t>
            </w:r>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sz w:val="20"/>
              </w:rPr>
              <w:t></w:t>
            </w:r>
            <w:r>
              <w:rPr>
                <w:sz w:val="20"/>
              </w:rPr>
              <w:tab/>
              <w:t>Not Applicable</w:t>
              <w:br/>
            </w:r>
            <w:r>
              <w:rPr>
                <w:rFonts w:eastAsia="WP IconicSymbolsA" w:cs="WP IconicSymbolsA" w:ascii="WP IconicSymbolsA" w:hAnsi="WP IconicSymbolsA"/>
                <w:b/>
              </w:rPr>
              <w:sym w:font="WP IconicSymbolsA" w:char="f03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WP IconicSymbolsA" w:cs="WP IconicSymbolsA" w:ascii="WP IconicSymbolsA" w:hAnsi="WP IconicSymbolsA"/>
                <w:b/>
              </w:rPr>
              <w:sym w:font="WP IconicSymbolsA" w:char="f03a"/>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b/>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sz w:val="20"/>
              </w:rPr>
              <w:t>[TBD]</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P IconicSymbolsA" w:cs="WP IconicSymbolsA" w:ascii="WP IconicSymbolsA" w:hAnsi="WP IconicSymbolsA"/>
                <w:b/>
              </w:rPr>
              <w:sym w:font="WP IconicSymbolsA" w:char="f03a"/>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b/>
                <w:sz w:val="20"/>
                <w:u w:val="single"/>
              </w:rPr>
            </w:pPr>
            <w:r>
              <w:rPr>
                <w:b/>
                <w:sz w:val="20"/>
                <w:u w:val="single"/>
              </w:rPr>
              <w:t>Schedule P</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N/A</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tabs>
          <w:tab w:val="left" w:pos="360" w:leader="none"/>
          <w:tab w:val="right" w:pos="4320" w:leader="none"/>
          <w:tab w:val="left" w:pos="5040" w:leader="none"/>
          <w:tab w:val="right" w:pos="9360" w:leader="none"/>
        </w:tabs>
        <w:jc w:val="both"/>
        <w:rPr/>
      </w:pPr>
      <w:r>
        <w:rPr>
          <w:sz w:val="20"/>
        </w:rPr>
        <w:t>(n)</w:t>
        <w:tab/>
      </w:r>
      <w:r>
        <w:rPr>
          <w:b/>
          <w:sz w:val="20"/>
        </w:rPr>
        <w:t xml:space="preserve">Product Definitions </w:t>
      </w:r>
    </w:p>
    <w:p>
      <w:pPr>
        <w:pStyle w:val="Signature-dbl"/>
        <w:jc w:val="both"/>
        <w:rPr>
          <w:sz w:val="20"/>
        </w:rPr>
      </w:pPr>
      <w:r>
        <w:rPr>
          <w:sz w:val="20"/>
        </w:rPr>
        <w:t>Schedule P to the Agreement is hereby deleted and the following provision is added as Section 10.14:</w:t>
      </w:r>
    </w:p>
    <w:p>
      <w:pPr>
        <w:pStyle w:val="Signature-dbl"/>
        <w:jc w:val="both"/>
        <w:rPr/>
      </w:pPr>
      <w:r>
        <w:rPr>
          <w:b/>
          <w:sz w:val="20"/>
        </w:rPr>
        <w:t>Product Definitions.</w:t>
      </w:r>
      <w:r>
        <w:rPr>
          <w:sz w:val="20"/>
        </w:rPr>
        <w:t xml:space="preserve">  The following Product Definitions shall apply, unless otherwise provided in a Confirmation.</w:t>
      </w:r>
    </w:p>
    <w:p>
      <w:pPr>
        <w:pStyle w:val="BodyText2"/>
        <w:ind w:start="360" w:end="0"/>
        <w:jc w:val="both"/>
        <w:rPr>
          <w:b w:val="false"/>
        </w:rPr>
      </w:pPr>
      <w:r>
        <w:rPr>
          <w:b w:val="false"/>
        </w:rPr>
        <w:t>(a)</w:t>
        <w:tab/>
        <w:t xml:space="preserve">    "CAISO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ind w:start="360" w:end="0"/>
        <w:jc w:val="both"/>
        <w:rPr>
          <w:b w:val="false"/>
        </w:rPr>
      </w:pPr>
      <w:r>
        <w:rPr>
          <w:b w:val="false"/>
        </w:rPr>
      </w:r>
    </w:p>
    <w:p>
      <w:pPr>
        <w:pStyle w:val="BodyText2"/>
        <w:ind w:start="360" w:end="0"/>
        <w:jc w:val="both"/>
        <w:rPr>
          <w:b w:val="false"/>
        </w:rPr>
      </w:pPr>
      <w:r>
        <w:rPr>
          <w:b w:val="false"/>
        </w:rPr>
        <w:t xml:space="preserve">(b)    "West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ind w:start="360" w:end="0"/>
        <w:jc w:val="both"/>
        <w:rPr>
          <w:b w:val="false"/>
        </w:rPr>
      </w:pPr>
      <w:r>
        <w:rPr>
          <w:b w:val="false"/>
        </w:rPr>
      </w:r>
    </w:p>
    <w:p>
      <w:pPr>
        <w:pStyle w:val="BodyText2"/>
        <w:ind w:start="360" w:end="0"/>
        <w:jc w:val="both"/>
        <w:rPr>
          <w:b w:val="false"/>
        </w:rPr>
      </w:pPr>
      <w:r>
        <w:rPr>
          <w:b w:val="false"/>
        </w:rPr>
        <w:t>(c)    "WSCC" means the Western Systems Coordinating Council.</w:t>
      </w:r>
    </w:p>
    <w:p>
      <w:pPr>
        <w:pStyle w:val="BodyText2"/>
        <w:ind w:start="360" w:end="0"/>
        <w:jc w:val="both"/>
        <w:rPr>
          <w:b w:val="false"/>
        </w:rPr>
      </w:pPr>
      <w:r>
        <w:rPr>
          <w:b w:val="false"/>
        </w:rPr>
      </w:r>
    </w:p>
    <w:p>
      <w:pPr>
        <w:pStyle w:val="coverbody"/>
        <w:spacing w:before="0" w:after="120"/>
        <w:ind w:start="360" w:end="0"/>
        <w:rPr/>
      </w:pPr>
      <w:r>
        <w:rPr/>
        <w:t>(d)    "WSPP Agreement" means the Western Systems Power Pool Agreement as amended from time to time.</w:t>
      </w:r>
    </w:p>
    <w:p>
      <w:pPr>
        <w:pStyle w:val="BodyText2"/>
        <w:jc w:val="both"/>
        <w:rPr>
          <w:b w:val="false"/>
        </w:rPr>
      </w:pPr>
      <w:r>
        <w:rPr>
          <w:b w:val="false"/>
        </w:rPr>
      </w:r>
    </w:p>
    <w:p>
      <w:pPr>
        <w:pStyle w:val="BodyText2"/>
        <w:jc w:val="both"/>
        <w:rPr>
          <w:b w:val="false"/>
        </w:rPr>
      </w:pPr>
      <w:r>
        <w:rPr>
          <w:b w:val="false"/>
        </w:rPr>
      </w:r>
    </w:p>
    <w:p>
      <w:pPr>
        <w:pStyle w:val="BodyText2"/>
        <w:jc w:val="both"/>
        <w:rPr/>
      </w:pPr>
      <w:r>
        <w:rPr>
          <w:b w:val="false"/>
        </w:rPr>
        <w:t>(o)</w:t>
        <w:tab/>
        <w:t xml:space="preserve">   </w:t>
      </w:r>
      <w:r>
        <w:rPr/>
        <w:t>California Independent System Operator</w:t>
      </w:r>
      <w:r>
        <w:rPr>
          <w:b w:val="false"/>
        </w:rPr>
        <w:t>.  The following provision is hereby added as Section 10.15:</w:t>
      </w:r>
    </w:p>
    <w:p>
      <w:pPr>
        <w:pStyle w:val="BodyText2"/>
        <w:jc w:val="both"/>
        <w:rPr>
          <w:b w:val="false"/>
        </w:rPr>
      </w:pPr>
      <w:r>
        <w:rPr>
          <w:b w:val="false"/>
        </w:rPr>
      </w:r>
    </w:p>
    <w:p>
      <w:pPr>
        <w:pStyle w:val="PlainText"/>
        <w:spacing w:before="0" w:after="120"/>
        <w:ind w:start="720" w:end="0"/>
        <w:rPr>
          <w:color w:val="000000"/>
        </w:rPr>
      </w:pPr>
      <w:r>
        <w:rPr>
          <w:color w:val="000000"/>
        </w:rPr>
        <w:t>If during the term of any Confirmation entered into hereunder, the CAISO loses or relinquishes day-to-day operational control of all, or less than all, of the transmission grid within its control area, the Parties agree to make commercially reasonable adjustments, as necessary, to adapt to such loss of control in a way that preserves their obligations hereunder in as close a manner as possible to the original intention of the Parties.  Accordingly,  neither Party may argue that such loss or relinquishment of control by the CAISO is an event of Force Majeure or Uncontrollable Force.   Should the Parties be unable to agree on the adjustments required, the matter shall be resolved through dispute resolution procedures set forth in the Agreement.</w:t>
      </w:r>
    </w:p>
    <w:p>
      <w:pPr>
        <w:pStyle w:val="PlainText"/>
        <w:spacing w:before="0" w:after="120"/>
        <w:ind w:start="720" w:end="0"/>
        <w:rPr>
          <w:color w:val="000000"/>
        </w:rPr>
      </w:pPr>
      <w:r>
        <w:rPr>
          <w:color w:val="000000"/>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Knauf Fiber Glass GmbH</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bookmarkStart w:id="0" w:name="DocID"/>
  </w:p>
  <w:p>
    <w:pPr>
      <w:pStyle w:val="Footer"/>
      <w:rPr>
        <w:rStyle w:val="PageNumber"/>
      </w:rPr>
    </w:pPr>
    <w:r>
      <w:rPr/>
    </w:r>
  </w:p>
  <w:p>
    <w:pPr>
      <w:pStyle w:val="Footer"/>
      <w:rPr/>
    </w:pPr>
    <w:r>
      <w:rPr>
        <w:rStyle w:val="PageNumber"/>
        <w:sz w:val="16"/>
      </w:rPr>
      <w:t>Portlnd3-1344064.1  0045413-00009</w:t>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2001-06-07T16:26:00Z</dcterms:created>
  <dc:creator>jmoore2</dc:creator>
  <dc:description/>
  <dc:language>en-CA</dc:language>
  <cp:lastModifiedBy>Stoel Rives</cp:lastModifiedBy>
  <cp:lastPrinted>2001-02-01T15:21:00Z</cp:lastPrinted>
  <dcterms:modified xsi:type="dcterms:W3CDTF">2001-06-07T16:26:00Z</dcterms:modified>
  <cp:revision>2</cp:revision>
  <dc:subject/>
  <dc:title>MASTER POWER PURCHASE AND SALE AGREEMENT</dc:title>
</cp:coreProperties>
</file>