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Louise Kitchen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rPr>
                <w:sz w:val="18"/>
              </w:rPr>
            </w:pPr>
            <w:r>
              <w:rPr>
                <w:sz w:val="18"/>
              </w:rPr>
              <w:t>Peter Keohane</w:t>
            </w:r>
          </w:p>
          <w:p>
            <w:pPr>
              <w:pStyle w:val="Normal"/>
              <w:rPr>
                <w:sz w:val="18"/>
              </w:rPr>
            </w:pPr>
            <w:r>
              <w:rPr>
                <w:sz w:val="18"/>
              </w:rPr>
              <w:t>Wally Shaw (Blake, Cassels &amp; Graydon)</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Rob Milnthorp</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Executive</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Rider</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spacing w:before="120" w:after="120"/>
        <w:ind w:start="90" w:end="0"/>
        <w:jc w:val="both"/>
        <w:rPr>
          <w:sz w:val="22"/>
        </w:rPr>
      </w:pPr>
      <w:r>
        <w:rPr>
          <w:sz w:val="22"/>
        </w:rPr>
      </w:r>
      <w:bookmarkStart w:id="1" w:name="StartOfMemo"/>
      <w:bookmarkStart w:id="2" w:name="StartOfMemo"/>
      <w:bookmarkEnd w:id="2"/>
    </w:p>
    <w:p>
      <w:pPr>
        <w:pStyle w:val="Normal"/>
        <w:ind w:start="90" w:end="0"/>
        <w:rPr>
          <w:b/>
          <w:bCs/>
          <w:sz w:val="22"/>
          <w:u w:val="single"/>
        </w:rPr>
      </w:pPr>
      <w:r>
        <w:rPr>
          <w:b/>
          <w:bCs/>
          <w:sz w:val="22"/>
          <w:u w:val="single"/>
        </w:rPr>
        <w:t>Rider</w:t>
      </w:r>
    </w:p>
    <w:p>
      <w:pPr>
        <w:pStyle w:val="Normal"/>
        <w:ind w:start="90" w:end="0"/>
        <w:rPr>
          <w:b/>
          <w:bCs/>
          <w:sz w:val="22"/>
          <w:u w:val="single"/>
        </w:rPr>
      </w:pPr>
      <w:r>
        <w:rPr>
          <w:b/>
          <w:bCs/>
          <w:sz w:val="22"/>
          <w:u w:val="single"/>
        </w:rPr>
      </w:r>
    </w:p>
    <w:p>
      <w:pPr>
        <w:pStyle w:val="Normal"/>
        <w:ind w:start="90" w:end="0"/>
        <w:jc w:val="both"/>
        <w:rPr>
          <w:sz w:val="22"/>
        </w:rPr>
      </w:pPr>
      <w:r>
        <w:rPr>
          <w:sz w:val="22"/>
        </w:rPr>
      </w:r>
    </w:p>
    <w:p>
      <w:pPr>
        <w:pStyle w:val="BodyText"/>
        <w:ind w:start="90" w:end="0"/>
        <w:jc w:val="both"/>
        <w:rPr>
          <w:sz w:val="22"/>
        </w:rPr>
      </w:pPr>
      <w:r>
        <w:rPr>
          <w:sz w:val="22"/>
        </w:rPr>
        <w:t>; provided, however, if Employee is a resident for tax purposes of Canada, and notwithstanding any of the foregoing provisions of the Grant, it is the expressed intention of the Grant that Employee shall not have any rights or interests in any of the Restricted Stock, directly or indirectly, by trust relationship or otherwise, including any voting rights or rights to dividends, unless and until the Restricted Stock vests to Employee in accordance with the terms of the Grant.</w:t>
      </w:r>
    </w:p>
    <w:p>
      <w:pPr>
        <w:pStyle w:val="BodyText"/>
        <w:ind w:start="90" w:end="0"/>
        <w:jc w:val="both"/>
        <w:rPr>
          <w:sz w:val="22"/>
        </w:rPr>
      </w:pPr>
      <w:r>
        <w:rPr>
          <w:sz w:val="22"/>
        </w:rPr>
      </w:r>
    </w:p>
    <w:p>
      <w:pPr>
        <w:pStyle w:val="Body"/>
        <w:spacing w:before="120" w:after="120"/>
        <w:ind w:start="90" w:end="0"/>
        <w:jc w:val="both"/>
        <w:rPr>
          <w:sz w:val="22"/>
        </w:rPr>
      </w:pPr>
      <w:r>
        <w:rPr>
          <w:b/>
          <w:bCs/>
          <w:sz w:val="22"/>
        </w:rPr>
        <w:t>[Note:  Needs to be reviewed by the Canadian tax counsel.]</w:t>
      </w:r>
    </w:p>
    <w:p>
      <w:pPr>
        <w:pStyle w:val="Body"/>
        <w:spacing w:before="120" w:after="120"/>
        <w:ind w:start="90" w:end="0"/>
        <w:jc w:val="both"/>
        <w:rPr>
          <w:sz w:val="22"/>
        </w:rPr>
      </w:pPr>
      <w:r>
        <w:rPr>
          <w:sz w:val="22"/>
        </w:rPr>
        <w:t>Regards, Rob</w:t>
      </w:r>
    </w:p>
    <w:p>
      <w:pPr>
        <w:pStyle w:val="Body"/>
        <w:ind w:start="90" w:end="0"/>
        <w:jc w:val="both"/>
        <w:rPr>
          <w:b/>
          <w:sz w:val="22"/>
        </w:rPr>
      </w:pPr>
      <w:r>
        <w:rPr>
          <w:b/>
          <w:sz w:val="22"/>
        </w:rPr>
      </w:r>
    </w:p>
    <w:p>
      <w:pPr>
        <w:pStyle w:val="Body"/>
        <w:ind w:start="90" w:end="0"/>
        <w:jc w:val="both"/>
        <w:rPr>
          <w:b/>
        </w:rPr>
      </w:pPr>
      <w:r>
        <w:rPr>
          <w:b/>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altName w:val="Arial"/>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/mnt/main-storage/datasets/enron-docs/doc/Kitchen.memo.rider-3a77e1f23ee6f5b9024ce2eb375ecc1dbaabf6e68744f30df6f81fb3410f2d61.doc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/mnt/main-storage/datasets/enron-docs/doc/Kitchen.memo.rider-3a77e1f23ee6f5b9024ce2eb375ecc1dbaabf6e68744f30df6f81fb3410f2d61.doc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0</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cs="CG Times (WN);Arial"/>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2001-12-19T17:11:00Z</dcterms:created>
  <dc:creator>ncappel</dc:creator>
  <dc:description/>
  <dc:language>en-CA</dc:language>
  <cp:lastModifiedBy>Nella Cappelletto</cp:lastModifiedBy>
  <cp:lastPrinted>2001-12-19T12:48:00Z</cp:lastPrinted>
  <dcterms:modified xsi:type="dcterms:W3CDTF">2001-12-19T17:18:00Z</dcterms:modified>
  <cp:revision>3</cp:revision>
  <dc:subject/>
  <dc:title>Eron Capital &amp; Trade Resources Memo</dc:title>
</cp:coreProperties>
</file>