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start"/>
        <w:rPr/>
      </w:pPr>
      <w:r>
        <w:rPr/>
        <w:t>Enron Credit Demo Schedule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April 3, 2001</w:t>
      </w:r>
    </w:p>
    <w:p>
      <w:pPr>
        <w:pStyle w:val="Heading1"/>
        <w:ind w:hanging="0" w:start="0"/>
        <w:jc w:val="start"/>
        <w:rPr/>
      </w:pPr>
      <w:r>
        <w:rPr/>
        <w:t>Meetings with Jeff Kinneman</w:t>
      </w:r>
    </w:p>
    <w:p>
      <w:pPr>
        <w:pStyle w:val="Normal"/>
        <w:rPr/>
      </w:pPr>
      <w:r>
        <w:rPr/>
      </w:r>
    </w:p>
    <w:tbl>
      <w:tblPr>
        <w:tblW w:w="66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3420"/>
      </w:tblGrid>
      <w:tr>
        <w:trPr>
          <w:trHeight w:val="69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Reporter</w:t>
            </w:r>
          </w:p>
        </w:tc>
      </w:tr>
      <w:tr>
        <w:trPr>
          <w:trHeight w:val="53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9:00 a.m – 10:00 a.m.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Dwight Cass</w:t>
            </w:r>
          </w:p>
          <w:p>
            <w:pPr>
              <w:pStyle w:val="Heading2"/>
              <w:ind w:hanging="0" w:start="0"/>
              <w:rPr/>
            </w:pPr>
            <w:r>
              <w:rPr/>
              <w:t>Risk Waters Publications</w:t>
            </w:r>
          </w:p>
        </w:tc>
      </w:tr>
      <w:tr>
        <w:trPr>
          <w:trHeight w:val="53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10:30 am – 11:30 a.m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Dan Wilchins</w:t>
            </w:r>
          </w:p>
          <w:p>
            <w:pPr>
              <w:pStyle w:val="Heading2"/>
              <w:ind w:hanging="0" w:start="0"/>
              <w:rPr/>
            </w:pPr>
            <w:r>
              <w:rPr/>
              <w:t>Derivatives Week</w:t>
            </w:r>
          </w:p>
        </w:tc>
      </w:tr>
      <w:tr>
        <w:trPr>
          <w:trHeight w:val="53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11:30 am – 12:30 pm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Christina McEachern</w:t>
            </w:r>
          </w:p>
          <w:p>
            <w:pPr>
              <w:pStyle w:val="Heading2"/>
              <w:ind w:hanging="0" w:start="0"/>
              <w:rPr/>
            </w:pPr>
            <w:r>
              <w:rPr/>
              <w:t>Wall Street &amp; Technology</w:t>
            </w:r>
          </w:p>
        </w:tc>
      </w:tr>
      <w:tr>
        <w:trPr>
          <w:trHeight w:val="53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12:30 pm – 1:00 pm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LUNCH BREAK</w:t>
            </w:r>
          </w:p>
        </w:tc>
      </w:tr>
      <w:tr>
        <w:trPr>
          <w:trHeight w:val="53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1:00 pm – 2:00 pm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Joe Kolman</w:t>
            </w:r>
          </w:p>
          <w:p>
            <w:pPr>
              <w:pStyle w:val="Heading2"/>
              <w:ind w:hanging="0" w:start="0"/>
              <w:rPr/>
            </w:pPr>
            <w:r>
              <w:rPr/>
              <w:t>Derivatives Strategy</w:t>
            </w:r>
          </w:p>
        </w:tc>
      </w:tr>
      <w:tr>
        <w:trPr>
          <w:trHeight w:val="53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2:30 pm – 3:30 pm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Chris Clair</w:t>
            </w:r>
          </w:p>
          <w:p>
            <w:pPr>
              <w:pStyle w:val="Heading2"/>
              <w:ind w:hanging="0" w:start="0"/>
              <w:rPr/>
            </w:pPr>
            <w:r>
              <w:rPr/>
              <w:t>Pensions &amp; Investments</w:t>
            </w:r>
          </w:p>
        </w:tc>
      </w:tr>
      <w:tr>
        <w:trPr>
          <w:trHeight w:val="53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4:00 pm – 5:00 pm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Jeff Kutler</w:t>
            </w:r>
          </w:p>
          <w:p>
            <w:pPr>
              <w:pStyle w:val="Heading2"/>
              <w:ind w:hanging="0" w:start="0"/>
              <w:rPr/>
            </w:pPr>
            <w:r>
              <w:rPr/>
              <w:t>Institutional Investor</w:t>
            </w:r>
          </w:p>
        </w:tc>
      </w:tr>
      <w:tr>
        <w:trPr>
          <w:trHeight w:val="530" w:hRule="atLeast"/>
        </w:trPr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7:00pm – 9:00 pm</w:t>
            </w:r>
          </w:p>
          <w:p>
            <w:pPr>
              <w:pStyle w:val="Normal"/>
              <w:rPr/>
            </w:pPr>
            <w:r>
              <w:rPr/>
              <w:t xml:space="preserve">Dinner 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David Rivers 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  <w:t>Waters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i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2001-03-30T01:31:00Z</dcterms:created>
  <dc:creator>Middleberg</dc:creator>
  <dc:description/>
  <dc:language>en-CA</dc:language>
  <cp:lastModifiedBy>mphilip2</cp:lastModifiedBy>
  <cp:lastPrinted>2001-03-27T16:51:00Z</cp:lastPrinted>
  <dcterms:modified xsi:type="dcterms:W3CDTF">2001-03-30T01:31:00Z</dcterms:modified>
  <cp:revision>2</cp:revision>
  <dc:subject/>
  <dc:title>Enron Credit Demo Schedule</dc:title>
</cp:coreProperties>
</file>