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1"/>
        </w:numPr>
        <w:jc w:val="both"/>
        <w:rPr/>
      </w:pPr>
      <w:r>
        <w:rPr>
          <w:u w:val="single"/>
        </w:rPr>
        <w:t>Renewable Energy</w:t>
      </w:r>
      <w:r>
        <w:rPr/>
        <w:t>.  We will ensure that during the Transaction Term the energy requirements for the Accounts, up to, but not exceeding, the Anticipated Usage for each Account, will be associated with generation of an equivalent amount of Renewable Energy and / or Renewable Energy credits.  All environmental attributes, associated with the purchase and sale of Renewable Energy and / or Renewable Energy credits pursuant to this Transaction shall, to the extent obtained by us and to the extent assignable by us, be assigned to you.  As used in this Confirmation, “Renewable Energy” shall mean renewable energy that is physically metered and verified in the State of Texas.  Renewable Energy credits in the State of Texas are derived from technology that exclusively relies on an energy source that is naturally regenerated over a short time and derived directly or indirectly from the sun, or from moving water or other natural movements and mechanisms of the environment, and includes the following energy sources:  sun, wind, geothermal, hydroelectric, wave or tidal energy, biomass, or biomass waste products, including landfill gas, and any other source that does not rely on energy resources derived from fossil fuels, waste products from fossil fuels, or waste products from isorganic sources.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J: Legal: Pdarmitzel: Kinko’s Renewable Energy 082001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2001-08-21T11:40:00Z</dcterms:created>
  <dc:creator>aqua geter</dc:creator>
  <dc:description/>
  <dc:language>en-CA</dc:language>
  <cp:lastModifiedBy>pdarmitz</cp:lastModifiedBy>
  <dcterms:modified xsi:type="dcterms:W3CDTF">2001-08-21T12:12:00Z</dcterms:modified>
  <cp:revision>6</cp:revision>
  <dc:subject/>
  <dc:title>2</dc:title>
</cp:coreProperties>
</file>