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2"/>
          <w:u w:val="single"/>
          <w:lang w:eastAsia="en-US"/>
        </w:rPr>
      </w:pPr>
      <w:r>
        <w:rPr>
          <w:b/>
          <w:sz w:val="22"/>
          <w:u w:val="single"/>
          <w:lang w:eastAsia="en-US"/>
        </w:rPr>
        <w:t>Introduction</w:t>
      </w:r>
    </w:p>
    <w:p>
      <w:pPr>
        <w:pStyle w:val="BodyText"/>
        <w:rPr/>
      </w:pPr>
      <w:r>
        <w:rPr/>
        <w:t>Listed below our Kinko’s comments to Enron’s proposed Master Electric Energy Service and Sales Agreement and associated Transaction confirmation. These comments are divide into three areas: Administrative, Contractual and Clarifying. The Administrative comments are mostly “word smithing” and clarifying in nature. The Contractual comments are changes in the contractual language that Kinko’s would prefer to operation under. The Clarifying Questions/Comments are questions pertaining to some of the specifics surrounding the way the agreement would be executed. Currently, Kinko’s doesn’t feel it has enough information or a basic understanding of what is being proposed to understand our responsibilities and risks. Based upon responses to Kinko’s Clarifying Questions/Comments, Kinko’s may propose alternative language.</w:t>
      </w:r>
    </w:p>
    <w:p>
      <w:pPr>
        <w:pStyle w:val="BodyText"/>
        <w:rPr/>
      </w:pPr>
      <w:r>
        <w:rPr/>
      </w:r>
    </w:p>
    <w:p>
      <w:pPr>
        <w:pStyle w:val="BodyText"/>
        <w:rPr/>
      </w:pPr>
      <w:r>
        <w:rPr/>
        <w:t>It is our hope that we can use this document as a reference sheet to finalize an agreement between Kinko’s and Enron.</w:t>
      </w:r>
    </w:p>
    <w:p>
      <w:pPr>
        <w:pStyle w:val="BodyText"/>
        <w:rPr/>
      </w:pPr>
      <w:r>
        <w:rPr/>
      </w:r>
    </w:p>
    <w:p>
      <w:pPr>
        <w:pStyle w:val="Normal"/>
        <w:rPr>
          <w:sz w:val="22"/>
          <w:lang w:eastAsia="en-US"/>
        </w:rPr>
      </w:pPr>
      <w:r>
        <w:rPr>
          <w:sz w:val="22"/>
          <w:lang w:eastAsia="en-US"/>
        </w:rPr>
      </w:r>
    </w:p>
    <w:p>
      <w:pPr>
        <w:pStyle w:val="Normal"/>
        <w:rPr>
          <w:sz w:val="22"/>
          <w:lang w:eastAsia="en-US"/>
        </w:rPr>
      </w:pPr>
      <w:r>
        <w:rPr>
          <w:b/>
          <w:sz w:val="22"/>
          <w:u w:val="single"/>
          <w:lang w:eastAsia="en-US"/>
        </w:rPr>
        <w:t>Administrative Comments</w:t>
      </w:r>
    </w:p>
    <w:p>
      <w:pPr>
        <w:pStyle w:val="BodyText"/>
        <w:rPr>
          <w:b/>
        </w:rPr>
      </w:pPr>
      <w:r>
        <w:rPr>
          <w:b/>
        </w:rPr>
        <w:t>1.2 very end of last sentence</w:t>
      </w:r>
    </w:p>
    <w:p>
      <w:pPr>
        <w:pStyle w:val="BodyText"/>
        <w:rPr/>
      </w:pPr>
      <w:r>
        <w:rPr/>
        <w:t>Delete “or such Transaction(s) have been earlier terminated under this Agreement.” We feel this is additional, unnecessary language, and is not needed.</w:t>
      </w:r>
    </w:p>
    <w:p>
      <w:pPr>
        <w:pStyle w:val="BodyText"/>
        <w:rPr/>
      </w:pPr>
      <w:r>
        <w:rPr/>
      </w:r>
    </w:p>
    <w:p>
      <w:pPr>
        <w:pStyle w:val="BodyText"/>
        <w:rPr>
          <w:b/>
        </w:rPr>
      </w:pPr>
      <w:r>
        <w:rPr>
          <w:b/>
        </w:rPr>
        <w:t>3.1 (vii)</w:t>
      </w:r>
    </w:p>
    <w:p>
      <w:pPr>
        <w:pStyle w:val="BodyText"/>
        <w:rPr/>
      </w:pPr>
      <w:r>
        <w:rPr/>
        <w:t>Delete “Customer or any of its subsidiaries” after “as to Customer” and “$3,000,000, or Customer”. This not applicable to this agreement.</w:t>
      </w:r>
    </w:p>
    <w:p>
      <w:pPr>
        <w:pStyle w:val="BodyText"/>
        <w:rPr/>
      </w:pPr>
      <w:r>
        <w:rPr/>
      </w:r>
    </w:p>
    <w:p>
      <w:pPr>
        <w:pStyle w:val="BodyText"/>
        <w:rPr>
          <w:b/>
        </w:rPr>
      </w:pPr>
      <w:r>
        <w:rPr>
          <w:b/>
        </w:rPr>
        <w:t>Section 4 – Affiliate, first sentence</w:t>
      </w:r>
    </w:p>
    <w:p>
      <w:pPr>
        <w:pStyle w:val="BodyText"/>
        <w:rPr/>
      </w:pPr>
      <w:r>
        <w:rPr/>
        <w:t>Change “terms” to “term”</w:t>
      </w:r>
    </w:p>
    <w:p>
      <w:pPr>
        <w:pStyle w:val="BodyText"/>
        <w:rPr/>
      </w:pPr>
      <w:r>
        <w:rPr/>
      </w:r>
    </w:p>
    <w:p>
      <w:pPr>
        <w:pStyle w:val="BodyText"/>
        <w:rPr>
          <w:b/>
        </w:rPr>
      </w:pPr>
      <w:r>
        <w:rPr>
          <w:b/>
        </w:rPr>
        <w:t>Section 4 – Energy Imbalance Charges, first sentence</w:t>
      </w:r>
    </w:p>
    <w:p>
      <w:pPr>
        <w:pStyle w:val="BodyText"/>
        <w:rPr/>
      </w:pPr>
      <w:r>
        <w:rPr/>
        <w:t>Change “any attorneys’ fees” to “any reasonable attorneys’ fees”</w:t>
      </w:r>
    </w:p>
    <w:p>
      <w:pPr>
        <w:pStyle w:val="BodyText"/>
        <w:rPr/>
      </w:pPr>
      <w:r>
        <w:rPr/>
      </w:r>
    </w:p>
    <w:p>
      <w:pPr>
        <w:pStyle w:val="BodyText"/>
        <w:rPr>
          <w:b/>
        </w:rPr>
      </w:pPr>
      <w:r>
        <w:rPr>
          <w:b/>
        </w:rPr>
        <w:t>Section 4 – Taxes, first sentence</w:t>
      </w:r>
    </w:p>
    <w:p>
      <w:pPr>
        <w:pStyle w:val="BodyText"/>
        <w:rPr/>
      </w:pPr>
      <w:r>
        <w:rPr/>
        <w:t>Change “means all taxes” to “means all applicable taxes”</w:t>
      </w:r>
    </w:p>
    <w:p>
      <w:pPr>
        <w:pStyle w:val="BodyText"/>
        <w:rPr/>
      </w:pPr>
      <w:r>
        <w:rPr/>
      </w:r>
    </w:p>
    <w:p>
      <w:pPr>
        <w:pStyle w:val="BodyText"/>
        <w:rPr>
          <w:b/>
        </w:rPr>
      </w:pPr>
      <w:r>
        <w:rPr>
          <w:b/>
        </w:rPr>
        <w:t>Section 6 first sentence</w:t>
      </w:r>
    </w:p>
    <w:p>
      <w:pPr>
        <w:pStyle w:val="BodyText"/>
        <w:rPr/>
      </w:pPr>
      <w:r>
        <w:rPr/>
        <w:t>Insert “AND” between “EXHIBITS” and “SCHEDULES”</w:t>
      </w:r>
    </w:p>
    <w:p>
      <w:pPr>
        <w:pStyle w:val="BodyText"/>
        <w:rPr/>
      </w:pPr>
      <w:r>
        <w:rPr/>
        <w:t>Insert “ATTACHED HERETO” after “SCHEDULES”</w:t>
      </w:r>
    </w:p>
    <w:p>
      <w:pPr>
        <w:pStyle w:val="BodyText"/>
        <w:rPr/>
      </w:pPr>
      <w:r>
        <w:rPr/>
        <w:t>Insert “ISSUED HEREUNDER BY THE PARTIES” after “CONFIRMATIONS”</w:t>
      </w:r>
    </w:p>
    <w:p>
      <w:pPr>
        <w:pStyle w:val="BodyText"/>
        <w:rPr/>
      </w:pPr>
      <w:r>
        <w:rPr/>
      </w:r>
    </w:p>
    <w:p>
      <w:pPr>
        <w:pStyle w:val="BodyText"/>
        <w:rPr>
          <w:b/>
        </w:rPr>
      </w:pPr>
      <w:r>
        <w:rPr>
          <w:b/>
        </w:rPr>
        <w:t>General Terms and Conditions – Miscellaneous, line 2</w:t>
      </w:r>
    </w:p>
    <w:p>
      <w:pPr>
        <w:pStyle w:val="BodyText"/>
        <w:rPr/>
      </w:pPr>
      <w:r>
        <w:rPr/>
        <w:t>Remove the word “Taxes”. There are no tax provisions in the GTC’s, so this is not applicable.</w:t>
      </w:r>
    </w:p>
    <w:p>
      <w:pPr>
        <w:pStyle w:val="BodyText"/>
        <w:rPr/>
      </w:pPr>
      <w:r>
        <w:rPr/>
      </w:r>
    </w:p>
    <w:p>
      <w:pPr>
        <w:pStyle w:val="BodyText"/>
        <w:rPr>
          <w:b/>
        </w:rPr>
      </w:pPr>
      <w:r>
        <w:rPr>
          <w:b/>
        </w:rPr>
        <w:t>Transaction Confirmation – Page 1, Price – EESI Energy Price” (d)</w:t>
      </w:r>
    </w:p>
    <w:p>
      <w:pPr>
        <w:pStyle w:val="BodyText"/>
        <w:rPr/>
      </w:pPr>
      <w:r>
        <w:rPr/>
        <w:t>Change “TNP” to “WTU”</w:t>
      </w:r>
    </w:p>
    <w:p>
      <w:pPr>
        <w:pStyle w:val="BodyText"/>
        <w:rPr/>
      </w:pPr>
      <w:r>
        <w:rPr/>
      </w:r>
    </w:p>
    <w:p>
      <w:pPr>
        <w:pStyle w:val="BodyText"/>
        <w:rPr>
          <w:b/>
        </w:rPr>
      </w:pPr>
      <w:r>
        <w:rPr>
          <w:b/>
        </w:rPr>
        <w:t>Transaction Confirmation – Page 2, Price – “TNP Accounts”</w:t>
      </w:r>
    </w:p>
    <w:p>
      <w:pPr>
        <w:pStyle w:val="BodyText"/>
        <w:rPr/>
      </w:pPr>
      <w:r>
        <w:rPr/>
        <w:t>Delete this and replace with appropriate language for “WTU Accounts”</w:t>
      </w:r>
    </w:p>
    <w:p>
      <w:pPr>
        <w:pStyle w:val="BodyText"/>
        <w:rPr/>
      </w:pPr>
      <w:r>
        <w:rPr/>
      </w:r>
      <w:r>
        <w:br w:type="page"/>
      </w:r>
    </w:p>
    <w:p>
      <w:pPr>
        <w:pStyle w:val="BodyText"/>
        <w:rPr>
          <w:b/>
          <w:u w:val="single"/>
        </w:rPr>
      </w:pPr>
      <w:r>
        <w:rPr>
          <w:b/>
          <w:u w:val="single"/>
        </w:rPr>
        <w:t>Contractual Comments</w:t>
      </w:r>
    </w:p>
    <w:p>
      <w:pPr>
        <w:pStyle w:val="BodyText"/>
        <w:rPr>
          <w:b/>
        </w:rPr>
      </w:pPr>
      <w:r>
        <w:rPr>
          <w:b/>
        </w:rPr>
        <w:t xml:space="preserve">1.4 last sentence </w:t>
      </w:r>
    </w:p>
    <w:p>
      <w:pPr>
        <w:pStyle w:val="BodyText"/>
        <w:rPr/>
      </w:pPr>
      <w:r>
        <w:rPr/>
        <w:t xml:space="preserve">Change "charged to you on a quarterly basis" to “charged to you on a monthly basis". </w:t>
      </w:r>
    </w:p>
    <w:p>
      <w:pPr>
        <w:pStyle w:val="Normal"/>
        <w:rPr>
          <w:sz w:val="22"/>
          <w:lang w:eastAsia="en-US"/>
        </w:rPr>
      </w:pPr>
      <w:r>
        <w:rPr>
          <w:sz w:val="22"/>
          <w:lang w:eastAsia="en-US"/>
        </w:rPr>
      </w:r>
    </w:p>
    <w:p>
      <w:pPr>
        <w:pStyle w:val="BodyText"/>
        <w:rPr>
          <w:b/>
        </w:rPr>
      </w:pPr>
      <w:r>
        <w:rPr>
          <w:b/>
        </w:rPr>
        <w:t>1.4 first sentence</w:t>
      </w:r>
    </w:p>
    <w:p>
      <w:pPr>
        <w:pStyle w:val="BodyText"/>
        <w:rPr/>
      </w:pPr>
      <w:r>
        <w:rPr/>
        <w:t xml:space="preserve">Insert “excluding events of Force Majeure or Utility Curtailment” </w:t>
      </w:r>
      <w:r>
        <w:rPr>
          <w:u w:val="single"/>
        </w:rPr>
        <w:t>after</w:t>
      </w:r>
      <w:r>
        <w:rPr/>
        <w:t xml:space="preserve"> “less than the Minimum Usage for such month (“Deficiency Usage”)”.</w:t>
      </w:r>
    </w:p>
    <w:p>
      <w:pPr>
        <w:pStyle w:val="BodyText"/>
        <w:rPr/>
      </w:pPr>
      <w:r>
        <w:rPr/>
      </w:r>
    </w:p>
    <w:p>
      <w:pPr>
        <w:pStyle w:val="BodyText"/>
        <w:rPr>
          <w:b/>
        </w:rPr>
      </w:pPr>
      <w:r>
        <w:rPr>
          <w:b/>
        </w:rPr>
        <w:t>2.1 (vi)</w:t>
      </w:r>
    </w:p>
    <w:p>
      <w:pPr>
        <w:pStyle w:val="BodyText"/>
        <w:rPr/>
      </w:pPr>
      <w:r>
        <w:rPr/>
        <w:t xml:space="preserve">Insert “subject to the Non-Disclosure Agreement attached hereto and” </w:t>
      </w:r>
      <w:r>
        <w:rPr>
          <w:u w:val="single"/>
        </w:rPr>
        <w:t>after</w:t>
      </w:r>
      <w:r>
        <w:rPr/>
        <w:t xml:space="preserve"> “your annual audited financial statements”.</w:t>
      </w:r>
    </w:p>
    <w:p>
      <w:pPr>
        <w:pStyle w:val="BodyText"/>
        <w:rPr/>
      </w:pPr>
      <w:r>
        <w:rPr/>
      </w:r>
    </w:p>
    <w:p>
      <w:pPr>
        <w:pStyle w:val="BodyText"/>
        <w:rPr>
          <w:b/>
        </w:rPr>
      </w:pPr>
      <w:r>
        <w:rPr>
          <w:b/>
        </w:rPr>
        <w:t>2.1 (vii)</w:t>
      </w:r>
    </w:p>
    <w:p>
      <w:pPr>
        <w:pStyle w:val="BodyText"/>
        <w:rPr/>
      </w:pPr>
      <w:r>
        <w:rPr/>
        <w:t xml:space="preserve">Insert “which are pre approved in writing by you and which are” </w:t>
      </w:r>
      <w:r>
        <w:rPr>
          <w:u w:val="single"/>
        </w:rPr>
        <w:t>after</w:t>
      </w:r>
      <w:r>
        <w:rPr/>
        <w:t xml:space="preserve"> “connection fees and metering charges”.</w:t>
      </w:r>
    </w:p>
    <w:p>
      <w:pPr>
        <w:pStyle w:val="BodyText"/>
        <w:rPr/>
      </w:pPr>
      <w:r>
        <w:rPr/>
      </w:r>
    </w:p>
    <w:p>
      <w:pPr>
        <w:pStyle w:val="BodyText"/>
        <w:rPr>
          <w:b/>
        </w:rPr>
      </w:pPr>
      <w:r>
        <w:rPr>
          <w:b/>
        </w:rPr>
        <w:t>2.2 seven sentence</w:t>
      </w:r>
    </w:p>
    <w:p>
      <w:pPr>
        <w:pStyle w:val="BodyText"/>
        <w:rPr/>
      </w:pPr>
      <w:r>
        <w:rPr/>
        <w:t xml:space="preserve">Insert “which shall not be unreasonably withheld” </w:t>
      </w:r>
      <w:r>
        <w:rPr>
          <w:u w:val="single"/>
        </w:rPr>
        <w:t>after</w:t>
      </w:r>
      <w:r>
        <w:rPr/>
        <w:t xml:space="preserve"> “your limited agent without our prior written consent”.</w:t>
      </w:r>
    </w:p>
    <w:p>
      <w:pPr>
        <w:pStyle w:val="BodyText"/>
        <w:rPr/>
      </w:pPr>
      <w:r>
        <w:rPr/>
      </w:r>
    </w:p>
    <w:p>
      <w:pPr>
        <w:pStyle w:val="BodyText"/>
        <w:rPr>
          <w:b/>
        </w:rPr>
      </w:pPr>
      <w:r>
        <w:rPr>
          <w:b/>
        </w:rPr>
        <w:t>2.8 line 9</w:t>
      </w:r>
    </w:p>
    <w:p>
      <w:pPr>
        <w:pStyle w:val="BodyText"/>
        <w:rPr>
          <w:b/>
          <w:u w:val="single"/>
        </w:rPr>
      </w:pPr>
      <w:r>
        <w:rPr/>
        <w:t xml:space="preserve">Insert “by both parties” </w:t>
      </w:r>
      <w:r>
        <w:rPr>
          <w:u w:val="single"/>
        </w:rPr>
        <w:t>after</w:t>
      </w:r>
      <w:r>
        <w:rPr/>
        <w:t xml:space="preserve"> “Disputed amounts subsequently determined”.</w:t>
      </w:r>
    </w:p>
    <w:p>
      <w:pPr>
        <w:pStyle w:val="BodyText"/>
        <w:rPr>
          <w:b/>
          <w:u w:val="single"/>
        </w:rPr>
      </w:pPr>
      <w:r>
        <w:rPr>
          <w:b/>
          <w:u w:val="single"/>
        </w:rPr>
      </w:r>
    </w:p>
    <w:p>
      <w:pPr>
        <w:pStyle w:val="BodyText"/>
        <w:rPr>
          <w:b/>
        </w:rPr>
      </w:pPr>
      <w:r>
        <w:rPr>
          <w:b/>
        </w:rPr>
        <w:t>2.8 Last few sentences</w:t>
      </w:r>
    </w:p>
    <w:p>
      <w:pPr>
        <w:pStyle w:val="BodyText"/>
        <w:rPr>
          <w:b/>
          <w:u w:val="single"/>
        </w:rPr>
      </w:pPr>
      <w:r>
        <w:rPr/>
        <w:t>Change “(including, without limitation ‘green’ power)” to “(excluding, without limitation ‘green’ power)”. Does not make sense that Enron would charge Kinko’s a premium for renewable power, and then keep any potential invoice credits that arise from our decision to purchase renewable power.</w:t>
      </w:r>
    </w:p>
    <w:p>
      <w:pPr>
        <w:pStyle w:val="BodyText"/>
        <w:rPr>
          <w:b/>
          <w:u w:val="single"/>
        </w:rPr>
      </w:pPr>
      <w:r>
        <w:rPr>
          <w:b/>
          <w:u w:val="single"/>
        </w:rPr>
      </w:r>
    </w:p>
    <w:p>
      <w:pPr>
        <w:pStyle w:val="BodyText"/>
        <w:rPr>
          <w:b/>
        </w:rPr>
      </w:pPr>
      <w:r>
        <w:rPr>
          <w:b/>
        </w:rPr>
        <w:t>3.1 (v)</w:t>
      </w:r>
    </w:p>
    <w:p>
      <w:pPr>
        <w:pStyle w:val="BodyText"/>
        <w:rPr/>
      </w:pPr>
      <w:r>
        <w:rPr/>
        <w:t xml:space="preserve">Insert “except for your initial public offering or other change of corporate structure or ownership” after “or substantially all of its assets to, another Person” </w:t>
      </w:r>
    </w:p>
    <w:p>
      <w:pPr>
        <w:pStyle w:val="BodyText"/>
        <w:rPr/>
      </w:pPr>
      <w:r>
        <w:rPr/>
      </w:r>
    </w:p>
    <w:p>
      <w:pPr>
        <w:pStyle w:val="BodyText"/>
        <w:rPr>
          <w:b/>
        </w:rPr>
      </w:pPr>
      <w:r>
        <w:rPr>
          <w:b/>
        </w:rPr>
        <w:t>3.1 (vi)</w:t>
      </w:r>
    </w:p>
    <w:p>
      <w:pPr>
        <w:pStyle w:val="BodyText"/>
        <w:rPr/>
      </w:pPr>
      <w:r>
        <w:rPr/>
        <w:t>Change “2 Business Days” to “3 Business Days”</w:t>
      </w:r>
    </w:p>
    <w:p>
      <w:pPr>
        <w:pStyle w:val="BodyText"/>
        <w:rPr/>
      </w:pPr>
      <w:r>
        <w:rPr/>
      </w:r>
    </w:p>
    <w:p>
      <w:pPr>
        <w:pStyle w:val="BodyText"/>
        <w:rPr>
          <w:b/>
        </w:rPr>
      </w:pPr>
      <w:r>
        <w:rPr>
          <w:b/>
        </w:rPr>
        <w:t>3.5 last sentence</w:t>
      </w:r>
    </w:p>
    <w:p>
      <w:pPr>
        <w:pStyle w:val="BodyText"/>
        <w:rPr/>
      </w:pPr>
      <w:r>
        <w:rPr/>
        <w:t>Change “two (2) Business Days” to “ten (10) Business Days”</w:t>
      </w:r>
    </w:p>
    <w:p>
      <w:pPr>
        <w:pStyle w:val="BodyText"/>
        <w:rPr/>
      </w:pPr>
      <w:r>
        <w:rPr/>
      </w:r>
    </w:p>
    <w:p>
      <w:pPr>
        <w:pStyle w:val="BodyText"/>
        <w:rPr>
          <w:b/>
        </w:rPr>
      </w:pPr>
      <w:r>
        <w:rPr>
          <w:b/>
        </w:rPr>
        <w:t>3.8 Throughout paragraph</w:t>
      </w:r>
    </w:p>
    <w:p>
      <w:pPr>
        <w:pStyle w:val="BodyText"/>
        <w:rPr/>
      </w:pPr>
      <w:r>
        <w:rPr/>
        <w:t>This paragraph appears to be very one sided on an issue that is equally uncontrollable to both of us.</w:t>
      </w:r>
    </w:p>
    <w:p>
      <w:pPr>
        <w:pStyle w:val="BodyText"/>
        <w:rPr/>
      </w:pPr>
      <w:r>
        <w:rPr/>
        <w:t>Line 1 change “upon our ability” to “upon either party’s ability”</w:t>
      </w:r>
    </w:p>
    <w:p>
      <w:pPr>
        <w:pStyle w:val="BodyText"/>
        <w:rPr/>
      </w:pPr>
      <w:r>
        <w:rPr/>
        <w:t>Line 2 change “perform our obligation” to “perform its obligation”</w:t>
      </w:r>
    </w:p>
    <w:p>
      <w:pPr>
        <w:pStyle w:val="BodyText"/>
        <w:rPr/>
      </w:pPr>
      <w:r>
        <w:rPr/>
        <w:t>Line 3 change “which we reasonably” to “which were reasonably”</w:t>
      </w:r>
    </w:p>
    <w:p>
      <w:pPr>
        <w:pStyle w:val="BodyText"/>
        <w:rPr/>
      </w:pPr>
      <w:r>
        <w:rPr/>
        <w:t>Line 4 delete “our” in “our obligations under”</w:t>
      </w:r>
    </w:p>
    <w:p>
      <w:pPr>
        <w:pStyle w:val="BodyText"/>
        <w:rPr/>
      </w:pPr>
      <w:r>
        <w:rPr/>
        <w:t>Line 6 change “then we may terminated” to “then the affected party may terminate”</w:t>
      </w:r>
    </w:p>
    <w:p>
      <w:pPr>
        <w:pStyle w:val="BodyText"/>
        <w:rPr>
          <w:b/>
          <w:u w:val="single"/>
        </w:rPr>
      </w:pPr>
      <w:r>
        <w:rPr>
          <w:b/>
          <w:u w:val="single"/>
        </w:rPr>
      </w:r>
    </w:p>
    <w:p>
      <w:pPr>
        <w:pStyle w:val="BodyText"/>
        <w:rPr>
          <w:b/>
        </w:rPr>
      </w:pPr>
      <w:r>
        <w:rPr>
          <w:b/>
        </w:rPr>
        <w:t>Section 5 first sentence</w:t>
      </w:r>
    </w:p>
    <w:p>
      <w:pPr>
        <w:pStyle w:val="BodyText"/>
        <w:rPr/>
      </w:pPr>
      <w:r>
        <w:rPr/>
        <w:t xml:space="preserve">Delete “electronic mail, facsimile or other acceptable means” and replace with “hand delivery or by overnight mail or courier” </w:t>
      </w:r>
    </w:p>
    <w:p>
      <w:pPr>
        <w:pStyle w:val="BodyText"/>
        <w:rPr>
          <w:b/>
          <w:u w:val="single"/>
        </w:rPr>
      </w:pPr>
      <w:r>
        <w:rPr>
          <w:b/>
          <w:u w:val="single"/>
        </w:rPr>
      </w:r>
    </w:p>
    <w:p>
      <w:pPr>
        <w:pStyle w:val="BodyText"/>
        <w:rPr>
          <w:b/>
        </w:rPr>
      </w:pPr>
      <w:r>
        <w:rPr>
          <w:b/>
        </w:rPr>
        <w:t>Section 5 below address box</w:t>
      </w:r>
    </w:p>
    <w:p>
      <w:pPr>
        <w:pStyle w:val="BodyText"/>
        <w:rPr/>
      </w:pPr>
      <w:r>
        <w:rPr/>
        <w:t xml:space="preserve">Insert “Copies of all notices sent to you will also be sent to the attention of your General Counsel” </w:t>
      </w:r>
    </w:p>
    <w:p>
      <w:pPr>
        <w:pStyle w:val="BodyText"/>
        <w:rPr>
          <w:b/>
          <w:u w:val="single"/>
        </w:rPr>
      </w:pPr>
      <w:r>
        <w:rPr>
          <w:b/>
          <w:u w:val="single"/>
        </w:rPr>
      </w:r>
    </w:p>
    <w:p>
      <w:pPr>
        <w:pStyle w:val="BodyText"/>
        <w:rPr>
          <w:b/>
        </w:rPr>
      </w:pPr>
      <w:r>
        <w:rPr>
          <w:b/>
        </w:rPr>
        <w:t>General Terms &amp; Conditions – Assignment and Binding Effect, line 6</w:t>
      </w:r>
    </w:p>
    <w:p>
      <w:pPr>
        <w:pStyle w:val="BodyText"/>
        <w:rPr/>
      </w:pPr>
      <w:r>
        <w:rPr/>
        <w:t xml:space="preserve">Insert “Furthermore, Customers initial public offering or other change of corporate structure or ownership will not be deemed an assignment for purposes of this agreement” </w:t>
      </w:r>
      <w:r>
        <w:rPr>
          <w:u w:val="single"/>
        </w:rPr>
        <w:t>before</w:t>
      </w:r>
      <w:r>
        <w:rPr/>
        <w:t xml:space="preserve"> “Assignments or transfers not in …”</w:t>
      </w:r>
    </w:p>
    <w:p>
      <w:pPr>
        <w:pStyle w:val="BodyText"/>
        <w:rPr/>
      </w:pPr>
      <w:r>
        <w:rPr/>
      </w:r>
    </w:p>
    <w:p>
      <w:pPr>
        <w:pStyle w:val="BodyText"/>
        <w:rPr>
          <w:b/>
        </w:rPr>
      </w:pPr>
      <w:r>
        <w:rPr>
          <w:b/>
        </w:rPr>
        <w:t>General Terms &amp; Conditions – Dispute Resolution</w:t>
      </w:r>
    </w:p>
    <w:p>
      <w:pPr>
        <w:pStyle w:val="BodyText"/>
        <w:rPr/>
      </w:pPr>
      <w:r>
        <w:rPr/>
        <w:t>Delete entire paragraph and replace with language proposed by Enron in initial agreement that allowed for resolution under AAA.</w:t>
      </w:r>
    </w:p>
    <w:p>
      <w:pPr>
        <w:pStyle w:val="BodyText"/>
        <w:rPr/>
      </w:pPr>
      <w:r>
        <w:rPr/>
      </w:r>
    </w:p>
    <w:p>
      <w:pPr>
        <w:pStyle w:val="BodyText"/>
        <w:rPr>
          <w:b/>
        </w:rPr>
      </w:pPr>
      <w:r>
        <w:rPr>
          <w:b/>
        </w:rPr>
        <w:t>General Terms and Conditions – Confidentiality</w:t>
      </w:r>
    </w:p>
    <w:p>
      <w:pPr>
        <w:pStyle w:val="BodyText"/>
        <w:rPr/>
      </w:pPr>
      <w:r>
        <w:rPr/>
        <w:t>Delete entire paragraph and replace with provision referencing the NDA that has already be executed between Enron and Kinko’s date June 01, 2001.</w:t>
      </w:r>
    </w:p>
    <w:p>
      <w:pPr>
        <w:pStyle w:val="BodyText"/>
        <w:rPr>
          <w:b/>
          <w:u w:val="single"/>
        </w:rPr>
      </w:pPr>
      <w:r>
        <w:rPr>
          <w:b/>
          <w:u w:val="single"/>
        </w:rPr>
      </w:r>
    </w:p>
    <w:p>
      <w:pPr>
        <w:pStyle w:val="Heading1"/>
        <w:ind w:hanging="0" w:start="0"/>
        <w:rPr/>
      </w:pPr>
      <w:r>
        <w:rPr/>
        <w:t xml:space="preserve">Transaction Conformation, Page 3 - "Waiver of Consumer Rights" </w:t>
      </w:r>
    </w:p>
    <w:p>
      <w:pPr>
        <w:pStyle w:val="Normal"/>
        <w:rPr>
          <w:sz w:val="22"/>
          <w:lang w:eastAsia="en-US"/>
        </w:rPr>
      </w:pPr>
      <w:r>
        <w:rPr>
          <w:sz w:val="22"/>
          <w:lang w:eastAsia="en-US"/>
        </w:rPr>
        <w:t>Delete this paragraph. Kinko’s doesn’t understand why Enron would want any customer to waive a right that has been set aside to protect that customer.</w:t>
      </w:r>
    </w:p>
    <w:p>
      <w:pPr>
        <w:pStyle w:val="BodyText"/>
        <w:rPr>
          <w:b/>
          <w:sz w:val="22"/>
          <w:u w:val="single"/>
          <w:lang w:eastAsia="en-US"/>
        </w:rPr>
      </w:pPr>
      <w:r>
        <w:rPr>
          <w:b/>
          <w:sz w:val="22"/>
          <w:u w:val="single"/>
          <w:lang w:eastAsia="en-US"/>
        </w:rPr>
      </w:r>
      <w:r>
        <w:br w:type="page"/>
      </w:r>
    </w:p>
    <w:p>
      <w:pPr>
        <w:pStyle w:val="BodyText"/>
        <w:rPr>
          <w:b/>
          <w:u w:val="single"/>
        </w:rPr>
      </w:pPr>
      <w:r>
        <w:rPr>
          <w:b/>
          <w:u w:val="single"/>
        </w:rPr>
        <w:t>Clarifying Questions/Comments</w:t>
      </w:r>
    </w:p>
    <w:p>
      <w:pPr>
        <w:pStyle w:val="Normal"/>
        <w:rPr/>
      </w:pPr>
      <w:r>
        <w:rPr>
          <w:b/>
          <w:sz w:val="22"/>
          <w:lang w:eastAsia="en-US"/>
        </w:rPr>
        <w:t>2.4</w:t>
      </w:r>
      <w:r>
        <w:rPr>
          <w:sz w:val="22"/>
          <w:lang w:eastAsia="en-US"/>
        </w:rPr>
        <w:t xml:space="preserve"> Kinko’s needs to gain a better understanding of the "Energy Imbalance Charges" discussed in this paragraph along with the definition in Section 4. </w:t>
      </w:r>
    </w:p>
    <w:p>
      <w:pPr>
        <w:pStyle w:val="Normal"/>
        <w:numPr>
          <w:ilvl w:val="0"/>
          <w:numId w:val="3"/>
        </w:numPr>
        <w:rPr>
          <w:sz w:val="22"/>
          <w:lang w:eastAsia="en-US"/>
        </w:rPr>
      </w:pPr>
      <w:r>
        <w:rPr>
          <w:sz w:val="22"/>
          <w:lang w:eastAsia="en-US"/>
        </w:rPr>
        <w:t xml:space="preserve">Is this just a pass through charge from the utility? </w:t>
      </w:r>
    </w:p>
    <w:p>
      <w:pPr>
        <w:pStyle w:val="Normal"/>
        <w:rPr>
          <w:sz w:val="22"/>
          <w:lang w:eastAsia="en-US"/>
        </w:rPr>
      </w:pPr>
      <w:r>
        <w:rPr>
          <w:sz w:val="22"/>
          <w:lang w:eastAsia="en-US"/>
        </w:rPr>
      </w:r>
    </w:p>
    <w:p>
      <w:pPr>
        <w:pStyle w:val="Normal"/>
        <w:numPr>
          <w:ilvl w:val="0"/>
          <w:numId w:val="3"/>
        </w:numPr>
        <w:rPr>
          <w:sz w:val="22"/>
          <w:lang w:eastAsia="en-US"/>
        </w:rPr>
      </w:pPr>
      <w:r>
        <w:rPr>
          <w:sz w:val="22"/>
          <w:lang w:eastAsia="en-US"/>
        </w:rPr>
        <w:t>Or does this agreement elevate Kinko’s exposure to more of these charges?</w:t>
      </w:r>
    </w:p>
    <w:p>
      <w:pPr>
        <w:pStyle w:val="Normal"/>
        <w:rPr>
          <w:sz w:val="22"/>
          <w:lang w:eastAsia="en-US"/>
        </w:rPr>
      </w:pPr>
      <w:r>
        <w:rPr>
          <w:sz w:val="22"/>
          <w:lang w:eastAsia="en-US"/>
        </w:rPr>
      </w:r>
    </w:p>
    <w:p>
      <w:pPr>
        <w:pStyle w:val="Normal"/>
        <w:numPr>
          <w:ilvl w:val="0"/>
          <w:numId w:val="3"/>
        </w:numPr>
        <w:rPr>
          <w:sz w:val="22"/>
          <w:lang w:eastAsia="en-US"/>
        </w:rPr>
      </w:pPr>
      <w:r>
        <w:rPr>
          <w:sz w:val="22"/>
          <w:lang w:eastAsia="en-US"/>
        </w:rPr>
        <w:t>Also per the definition, it appears that if “the energy requirements of an Account vary from the amount of energy supplied by” Enron, then we will receive Energy Imbalance Charges. Are these new charges on top of the Excess or Deficiency Usage charges outlined in the Transaction Confirmation?</w:t>
      </w:r>
    </w:p>
    <w:p>
      <w:pPr>
        <w:pStyle w:val="Normal"/>
        <w:rPr>
          <w:sz w:val="22"/>
          <w:lang w:eastAsia="en-US"/>
        </w:rPr>
      </w:pPr>
      <w:r>
        <w:rPr>
          <w:sz w:val="22"/>
          <w:lang w:eastAsia="en-US"/>
        </w:rPr>
      </w:r>
    </w:p>
    <w:p>
      <w:pPr>
        <w:pStyle w:val="Normal"/>
        <w:rPr>
          <w:sz w:val="22"/>
          <w:lang w:eastAsia="en-US"/>
        </w:rPr>
      </w:pPr>
      <w:r>
        <w:rPr>
          <w:sz w:val="22"/>
          <w:lang w:eastAsia="en-US"/>
        </w:rPr>
      </w:r>
    </w:p>
    <w:p>
      <w:pPr>
        <w:pStyle w:val="Normal"/>
        <w:rPr/>
      </w:pPr>
      <w:r>
        <w:rPr>
          <w:b/>
          <w:sz w:val="22"/>
          <w:lang w:eastAsia="en-US"/>
        </w:rPr>
        <w:t>2.7</w:t>
      </w:r>
      <w:r>
        <w:rPr>
          <w:sz w:val="22"/>
          <w:lang w:eastAsia="en-US"/>
        </w:rPr>
        <w:t xml:space="preserve"> last three sentences</w:t>
      </w:r>
    </w:p>
    <w:p>
      <w:pPr>
        <w:pStyle w:val="Normal"/>
        <w:rPr>
          <w:sz w:val="22"/>
          <w:lang w:eastAsia="en-US"/>
        </w:rPr>
      </w:pPr>
      <w:r>
        <w:rPr>
          <w:sz w:val="22"/>
          <w:lang w:eastAsia="en-US"/>
        </w:rPr>
        <w:t xml:space="preserve">Kinko’s understands Enron’s inability to control the “performance of an applicable Utility”. Kinko’s also can not control the Utilities. We feel the last few sentences in this paragraph shifts all the burden of risk on Kinko’s if the utility does not perform, and we don’t believe that is appropriate. This understanding is based upon two factors: </w:t>
      </w:r>
    </w:p>
    <w:p>
      <w:pPr>
        <w:pStyle w:val="Normal"/>
        <w:rPr>
          <w:sz w:val="22"/>
          <w:lang w:eastAsia="en-US"/>
        </w:rPr>
      </w:pPr>
      <w:r>
        <w:rPr>
          <w:sz w:val="22"/>
          <w:lang w:eastAsia="en-US"/>
        </w:rPr>
      </w:r>
    </w:p>
    <w:p>
      <w:pPr>
        <w:pStyle w:val="Normal"/>
        <w:numPr>
          <w:ilvl w:val="0"/>
          <w:numId w:val="2"/>
        </w:numPr>
        <w:rPr>
          <w:sz w:val="22"/>
          <w:lang w:eastAsia="en-US"/>
        </w:rPr>
      </w:pPr>
      <w:r>
        <w:rPr>
          <w:sz w:val="22"/>
          <w:lang w:eastAsia="en-US"/>
        </w:rPr>
        <w:t xml:space="preserve">Enron automatically assuming the Non-Defaulting Party status, and by assuming this position Enron obtains some inherent value. This assumption is based upon reviewing the Section 3.1 through 3.3. These paragraphs state that the Defaulting Party is not allowed to determine its “Costs” whereas the Non-Defaulting Party is allowed to determine these costs. Its probable under these circumstances the “Defaulting” may also incur “Costs”, and </w:t>
      </w:r>
    </w:p>
    <w:p>
      <w:pPr>
        <w:pStyle w:val="Normal"/>
        <w:rPr>
          <w:sz w:val="22"/>
          <w:lang w:eastAsia="en-US"/>
        </w:rPr>
      </w:pPr>
      <w:r>
        <w:rPr>
          <w:sz w:val="22"/>
          <w:lang w:eastAsia="en-US"/>
        </w:rPr>
      </w:r>
    </w:p>
    <w:p>
      <w:pPr>
        <w:pStyle w:val="Normal"/>
        <w:numPr>
          <w:ilvl w:val="0"/>
          <w:numId w:val="2"/>
        </w:numPr>
        <w:rPr>
          <w:sz w:val="22"/>
          <w:lang w:eastAsia="en-US"/>
        </w:rPr>
      </w:pPr>
      <w:r>
        <w:rPr>
          <w:sz w:val="22"/>
          <w:lang w:eastAsia="en-US"/>
        </w:rPr>
        <w:t>If there are “Losses” calculated by Enron for either party, then the other party would be obliged to pay this first party within so many days a lump sum Early Termination Payment. A more equitable approach for fairly proportioning the risk associated with this truly uncontrollable event would be to allow the party owing on the “Lose” to pay the party that has claimed the “Lose” over the remaining term of the agreement when and only when a Utility Non-performance issue arises.</w:t>
      </w:r>
    </w:p>
    <w:p>
      <w:pPr>
        <w:pStyle w:val="Normal"/>
        <w:rPr>
          <w:sz w:val="22"/>
          <w:lang w:eastAsia="en-US"/>
        </w:rPr>
      </w:pPr>
      <w:r>
        <w:rPr>
          <w:sz w:val="22"/>
          <w:lang w:eastAsia="en-US"/>
        </w:rPr>
      </w:r>
    </w:p>
    <w:p>
      <w:pPr>
        <w:pStyle w:val="Normal"/>
        <w:rPr/>
      </w:pPr>
      <w:r>
        <w:rPr>
          <w:b/>
          <w:sz w:val="22"/>
          <w:lang w:eastAsia="en-US"/>
        </w:rPr>
        <w:t>2.8</w:t>
      </w:r>
      <w:r>
        <w:rPr>
          <w:sz w:val="22"/>
          <w:lang w:eastAsia="en-US"/>
        </w:rPr>
        <w:t>. Kinko’s still needs to verify with Avista to find out if they have a problem paying in 10 days.</w:t>
      </w:r>
    </w:p>
    <w:p>
      <w:pPr>
        <w:pStyle w:val="Normal"/>
        <w:rPr>
          <w:sz w:val="22"/>
          <w:lang w:eastAsia="en-US"/>
        </w:rPr>
      </w:pPr>
      <w:r>
        <w:rPr>
          <w:sz w:val="22"/>
          <w:lang w:eastAsia="en-US"/>
        </w:rPr>
      </w:r>
    </w:p>
    <w:p>
      <w:pPr>
        <w:pStyle w:val="Normal"/>
        <w:rPr>
          <w:b/>
          <w:sz w:val="22"/>
          <w:lang w:eastAsia="en-US"/>
        </w:rPr>
      </w:pPr>
      <w:r>
        <w:rPr>
          <w:b/>
          <w:sz w:val="22"/>
          <w:lang w:eastAsia="en-US"/>
        </w:rPr>
        <w:t>3.8 last three sentences</w:t>
      </w:r>
    </w:p>
    <w:p>
      <w:pPr>
        <w:pStyle w:val="Normal"/>
        <w:rPr>
          <w:sz w:val="22"/>
          <w:lang w:eastAsia="en-US"/>
        </w:rPr>
      </w:pPr>
      <w:r>
        <w:rPr>
          <w:sz w:val="22"/>
          <w:lang w:eastAsia="en-US"/>
        </w:rPr>
        <w:t>Conceptually Kinko’s has the same concerns with these terms as presented above concerning the last three sentences in 2.7. Again, a more equally bearing of risks and costs need to be devised.</w:t>
      </w:r>
    </w:p>
    <w:p>
      <w:pPr>
        <w:pStyle w:val="Normal"/>
        <w:rPr>
          <w:sz w:val="22"/>
          <w:lang w:eastAsia="en-US"/>
        </w:rPr>
      </w:pPr>
      <w:r>
        <w:rPr>
          <w:sz w:val="22"/>
          <w:lang w:eastAsia="en-US"/>
        </w:rPr>
      </w:r>
    </w:p>
    <w:p>
      <w:pPr>
        <w:pStyle w:val="Heading1"/>
        <w:ind w:hanging="0" w:start="0"/>
        <w:rPr/>
      </w:pPr>
      <w:r>
        <w:rPr/>
        <w:t>Transaction Conformation, Page 2, Excess and Deficiency Usage Charge</w:t>
      </w:r>
    </w:p>
    <w:p>
      <w:pPr>
        <w:pStyle w:val="Normal"/>
        <w:rPr>
          <w:sz w:val="22"/>
          <w:lang w:eastAsia="en-US"/>
        </w:rPr>
      </w:pPr>
      <w:r>
        <w:rPr>
          <w:sz w:val="22"/>
          <w:lang w:eastAsia="en-US"/>
        </w:rPr>
        <w:t>For both “Excess and Deficiency Usage”- What happens if the “difference” is negative? Does Kinko’s get to participate in any of the realized savings if the average Sport Energy Price is less than EESI Energy Price?</w:t>
      </w:r>
    </w:p>
    <w:p>
      <w:pPr>
        <w:pStyle w:val="Normal"/>
        <w:rPr>
          <w:sz w:val="22"/>
          <w:lang w:eastAsia="en-US"/>
        </w:rPr>
      </w:pPr>
      <w:r>
        <w:rPr>
          <w:sz w:val="22"/>
          <w:lang w:eastAsia="en-US"/>
        </w:rPr>
      </w:r>
    </w:p>
    <w:p>
      <w:pPr>
        <w:pStyle w:val="Heading1"/>
        <w:ind w:hanging="0" w:start="0"/>
        <w:rPr/>
      </w:pPr>
      <w:r>
        <w:rPr/>
        <w:t xml:space="preserve">Transaction Conformation, Page 2, Excess and Deficiency Usage Charge </w:t>
      </w:r>
    </w:p>
    <w:p>
      <w:pPr>
        <w:pStyle w:val="Normal"/>
        <w:rPr>
          <w:sz w:val="22"/>
          <w:lang w:eastAsia="en-US"/>
        </w:rPr>
      </w:pPr>
      <w:r>
        <w:rPr>
          <w:sz w:val="22"/>
          <w:lang w:eastAsia="en-US"/>
        </w:rPr>
        <w:t>On both "Excess and Deficiency Usage" Enron needs to clarify if this calculation is going to be per Account, per meter or per Utility service area.</w:t>
      </w:r>
    </w:p>
    <w:p>
      <w:pPr>
        <w:pStyle w:val="Normal"/>
        <w:rPr>
          <w:sz w:val="22"/>
          <w:lang w:eastAsia="en-US"/>
        </w:rPr>
      </w:pPr>
      <w:r>
        <w:rPr>
          <w:sz w:val="22"/>
          <w:lang w:eastAsia="en-US"/>
        </w:rPr>
      </w:r>
    </w:p>
    <w:p>
      <w:pPr>
        <w:pStyle w:val="Heading1"/>
        <w:ind w:hanging="0" w:start="0"/>
        <w:rPr/>
      </w:pPr>
      <w:r>
        <w:rPr/>
        <w:t xml:space="preserve">Transaction Conformation, Page 2 - "Local Congestion Charges" </w:t>
      </w:r>
    </w:p>
    <w:p>
      <w:pPr>
        <w:pStyle w:val="Normal"/>
        <w:rPr>
          <w:sz w:val="22"/>
          <w:lang w:eastAsia="en-US"/>
        </w:rPr>
      </w:pPr>
      <w:r>
        <w:rPr>
          <w:sz w:val="22"/>
          <w:lang w:eastAsia="en-US"/>
        </w:rPr>
        <w:t xml:space="preserve">Kinko’s requires a little more information to understand this provision. Are these just pass through charges from the Utilities? Does Kinko’s become any more susceptible to these charges by executing this agreement with Enron?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lang w:eastAsia="en-US"/>
    </w:rPr>
  </w:style>
  <w:style w:type="character" w:styleId="WW8Num1z0">
    <w:name w:val="WW8Num1z0"/>
    <w:qFormat/>
    <w:rPr/>
  </w:style>
  <w:style w:type="character" w:styleId="WW8Num2z0">
    <w:name w:val="WW8Num2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2001-08-24T21:56:00Z</dcterms:created>
  <dc:creator>Kinko's, Inc.</dc:creator>
  <dc:description/>
  <dc:language>en-CA</dc:language>
  <cp:lastModifiedBy>Kinko's, Inc.</cp:lastModifiedBy>
  <dcterms:modified xsi:type="dcterms:W3CDTF">2001-09-08T00:44:00Z</dcterms:modified>
  <cp:revision>2</cp:revision>
  <dc:subject/>
  <dc:title>Master Sales &amp; Service Agreement</dc:title>
</cp:coreProperties>
</file>