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rPr>
      </w:pPr>
      <w:r>
        <w:rPr>
          <w:sz w:val="24"/>
        </w:rPr>
        <w:t>TABLE OF CONTENTS</w:t>
      </w:r>
    </w:p>
    <w:p>
      <w:pPr>
        <w:pStyle w:val="Normal"/>
        <w:rPr>
          <w:sz w:val="24"/>
        </w:rPr>
      </w:pPr>
      <w:r>
        <w:rPr>
          <w:sz w:val="24"/>
        </w:rPr>
      </w:r>
    </w:p>
    <w:p>
      <w:pPr>
        <w:pStyle w:val="Normal"/>
        <w:rPr>
          <w:sz w:val="24"/>
        </w:rPr>
      </w:pPr>
      <w:r>
        <w:rPr>
          <w:sz w:val="24"/>
        </w:rPr>
        <w:tab/>
        <w:tab/>
        <w:tab/>
        <w:tab/>
        <w:tab/>
        <w:tab/>
        <w:tab/>
        <w:tab/>
        <w:tab/>
        <w:tab/>
        <w:tab/>
        <w:t>Page</w:t>
      </w:r>
    </w:p>
    <w:p>
      <w:pPr>
        <w:pStyle w:val="Normal"/>
        <w:tabs>
          <w:tab w:val="clear" w:pos="720"/>
          <w:tab w:val="right" w:pos="8370" w:leader="dot"/>
        </w:tabs>
        <w:spacing w:lineRule="auto" w:line="360"/>
        <w:rPr>
          <w:sz w:val="24"/>
        </w:rPr>
      </w:pPr>
      <w:r>
        <w:rPr>
          <w:sz w:val="24"/>
        </w:rPr>
      </w:r>
    </w:p>
    <w:p>
      <w:pPr>
        <w:pStyle w:val="Normal"/>
        <w:tabs>
          <w:tab w:val="clear" w:pos="720"/>
          <w:tab w:val="right" w:pos="360" w:leader="dot"/>
          <w:tab w:val="right" w:pos="8370" w:leader="dot"/>
        </w:tabs>
        <w:spacing w:lineRule="auto" w:line="360"/>
        <w:ind w:hanging="360" w:start="360" w:end="0"/>
        <w:rPr>
          <w:sz w:val="24"/>
        </w:rPr>
      </w:pPr>
      <w:r>
        <w:rPr>
          <w:sz w:val="24"/>
        </w:rPr>
        <w:t>1.0</w:t>
        <w:tab/>
        <w:t xml:space="preserve"> INTRODUCTION</w:t>
        <w:tab/>
        <w:t>1</w:t>
        <w:tab/>
      </w:r>
    </w:p>
    <w:p>
      <w:pPr>
        <w:pStyle w:val="Normal"/>
        <w:spacing w:lineRule="auto" w:line="360"/>
        <w:rPr>
          <w:sz w:val="24"/>
        </w:rPr>
      </w:pPr>
      <w:r>
        <w:rPr>
          <w:sz w:val="24"/>
        </w:rPr>
      </w:r>
    </w:p>
    <w:p>
      <w:pPr>
        <w:pStyle w:val="Normal"/>
        <w:tabs>
          <w:tab w:val="clear" w:pos="720"/>
          <w:tab w:val="left" w:pos="360" w:leader="none"/>
        </w:tabs>
        <w:spacing w:lineRule="auto" w:line="360"/>
        <w:ind w:hanging="360" w:start="360" w:end="0"/>
        <w:rPr>
          <w:sz w:val="24"/>
        </w:rPr>
      </w:pPr>
      <w:r>
        <w:rPr>
          <w:sz w:val="24"/>
        </w:rPr>
        <w:t>2.0</w:t>
        <w:tab/>
        <w:t>PROJECT DESCRIPTION</w:t>
      </w:r>
    </w:p>
    <w:p>
      <w:pPr>
        <w:pStyle w:val="Normal"/>
        <w:tabs>
          <w:tab w:val="clear" w:pos="720"/>
          <w:tab w:val="right" w:pos="1080" w:leader="none"/>
          <w:tab w:val="right" w:pos="8370" w:leader="dot"/>
        </w:tabs>
        <w:spacing w:lineRule="auto" w:line="360"/>
        <w:ind w:hanging="360" w:start="1080" w:end="0"/>
        <w:rPr>
          <w:sz w:val="24"/>
        </w:rPr>
      </w:pPr>
      <w:r>
        <w:rPr>
          <w:sz w:val="24"/>
        </w:rPr>
        <w:t>2.1</w:t>
        <w:tab/>
        <w:t>Project Emissions</w:t>
        <w:tab/>
        <w:t>4</w:t>
        <w:tab/>
      </w:r>
    </w:p>
    <w:p>
      <w:pPr>
        <w:pStyle w:val="Normal"/>
        <w:tabs>
          <w:tab w:val="clear" w:pos="720"/>
          <w:tab w:val="left" w:pos="1080" w:leader="none"/>
          <w:tab w:val="right" w:pos="8370" w:leader="dot"/>
        </w:tabs>
        <w:spacing w:lineRule="auto" w:line="360"/>
        <w:ind w:hanging="360" w:start="1080" w:end="0"/>
        <w:rPr>
          <w:sz w:val="24"/>
        </w:rPr>
      </w:pPr>
      <w:r>
        <w:rPr>
          <w:sz w:val="24"/>
        </w:rPr>
        <w:t>2.2</w:t>
        <w:tab/>
        <w:t>Netting Calculations</w:t>
        <w:tab/>
        <w:t>5</w:t>
        <w:tab/>
      </w:r>
    </w:p>
    <w:p>
      <w:pPr>
        <w:pStyle w:val="Normal"/>
        <w:tabs>
          <w:tab w:val="clear" w:pos="720"/>
          <w:tab w:val="left" w:pos="1080" w:leader="none"/>
          <w:tab w:val="right" w:pos="8370" w:leader="dot"/>
        </w:tabs>
        <w:spacing w:lineRule="auto" w:line="360"/>
        <w:ind w:hanging="360" w:start="1080" w:end="0"/>
        <w:rPr>
          <w:sz w:val="24"/>
        </w:rPr>
      </w:pPr>
      <w:r>
        <w:rPr>
          <w:sz w:val="24"/>
        </w:rPr>
        <w:t>2.3</w:t>
        <w:tab/>
        <w:t>Alternative Operating Scenario Emissions</w:t>
        <w:tab/>
        <w:t>6</w:t>
      </w:r>
    </w:p>
    <w:p>
      <w:pPr>
        <w:pStyle w:val="Normal"/>
        <w:tabs>
          <w:tab w:val="clear" w:pos="720"/>
          <w:tab w:val="left" w:pos="1080" w:leader="none"/>
          <w:tab w:val="right" w:pos="8370" w:leader="dot"/>
        </w:tabs>
        <w:spacing w:lineRule="auto" w:line="360"/>
        <w:ind w:hanging="360" w:start="1080" w:end="0"/>
        <w:rPr>
          <w:sz w:val="24"/>
        </w:rPr>
      </w:pPr>
      <w:r>
        <w:rPr>
          <w:sz w:val="24"/>
        </w:rPr>
        <w:t>2.4</w:t>
        <w:tab/>
        <w:t>Ambient Air Modeling</w:t>
        <w:tab/>
        <w:t>7</w:t>
      </w:r>
    </w:p>
    <w:p>
      <w:pPr>
        <w:pStyle w:val="Normal"/>
        <w:tabs>
          <w:tab w:val="clear" w:pos="720"/>
          <w:tab w:val="left" w:pos="1080" w:leader="none"/>
          <w:tab w:val="right" w:pos="8370" w:leader="dot"/>
        </w:tabs>
        <w:spacing w:lineRule="auto" w:line="360"/>
        <w:ind w:hanging="360" w:start="1080" w:end="0"/>
        <w:rPr>
          <w:sz w:val="24"/>
        </w:rPr>
      </w:pPr>
      <w:r>
        <w:rPr>
          <w:sz w:val="24"/>
        </w:rPr>
        <w:t>2.5</w:t>
        <w:tab/>
        <w:t>BACT Analysis</w:t>
        <w:tab/>
        <w:t>7</w:t>
      </w:r>
    </w:p>
    <w:p>
      <w:pPr>
        <w:pStyle w:val="Normal"/>
        <w:spacing w:lineRule="auto" w:line="360"/>
        <w:rPr>
          <w:sz w:val="24"/>
        </w:rPr>
      </w:pPr>
      <w:r>
        <w:rPr>
          <w:sz w:val="24"/>
        </w:rPr>
      </w:r>
    </w:p>
    <w:p>
      <w:pPr>
        <w:pStyle w:val="Normal"/>
        <w:tabs>
          <w:tab w:val="clear" w:pos="720"/>
          <w:tab w:val="left" w:pos="360" w:leader="none"/>
        </w:tabs>
        <w:spacing w:lineRule="auto" w:line="360"/>
        <w:ind w:hanging="360" w:start="360" w:end="0"/>
        <w:rPr>
          <w:sz w:val="24"/>
        </w:rPr>
      </w:pPr>
      <w:r>
        <w:rPr>
          <w:sz w:val="24"/>
        </w:rPr>
        <w:t>3.0</w:t>
        <w:tab/>
        <w:t>AIR QUALITY REQUIREMENTS</w:t>
      </w:r>
    </w:p>
    <w:p>
      <w:pPr>
        <w:pStyle w:val="Normal"/>
        <w:tabs>
          <w:tab w:val="clear" w:pos="720"/>
          <w:tab w:val="left" w:pos="1080" w:leader="none"/>
          <w:tab w:val="right" w:pos="8370" w:leader="dot"/>
        </w:tabs>
        <w:spacing w:lineRule="auto" w:line="360"/>
        <w:ind w:hanging="360" w:start="1080" w:end="0"/>
        <w:rPr>
          <w:sz w:val="24"/>
        </w:rPr>
      </w:pPr>
      <w:r>
        <w:rPr>
          <w:sz w:val="24"/>
        </w:rPr>
        <w:t>3.1</w:t>
        <w:tab/>
        <w:t>National and State Ambient Air Quality Standards</w:t>
        <w:tab/>
        <w:t>9</w:t>
      </w:r>
    </w:p>
    <w:p>
      <w:pPr>
        <w:pStyle w:val="Normal"/>
        <w:tabs>
          <w:tab w:val="clear" w:pos="720"/>
          <w:tab w:val="left" w:pos="1080" w:leader="none"/>
          <w:tab w:val="right" w:pos="8370" w:leader="dot"/>
        </w:tabs>
        <w:spacing w:lineRule="auto" w:line="360"/>
        <w:ind w:hanging="360" w:start="1080" w:end="0"/>
        <w:rPr>
          <w:sz w:val="24"/>
        </w:rPr>
      </w:pPr>
      <w:r>
        <w:rPr>
          <w:sz w:val="24"/>
        </w:rPr>
        <w:t>3.2</w:t>
        <w:tab/>
        <w:t>Regulatory Summary</w:t>
        <w:tab/>
        <w:t>10</w:t>
      </w:r>
    </w:p>
    <w:p>
      <w:pPr>
        <w:pStyle w:val="Normal"/>
        <w:tabs>
          <w:tab w:val="clear" w:pos="720"/>
          <w:tab w:val="left" w:pos="2160" w:leader="none"/>
          <w:tab w:val="right" w:pos="8370" w:leader="dot"/>
        </w:tabs>
        <w:spacing w:lineRule="auto" w:line="360"/>
        <w:ind w:hanging="720" w:start="2160" w:end="0"/>
        <w:rPr>
          <w:sz w:val="24"/>
        </w:rPr>
      </w:pPr>
      <w:r>
        <w:rPr>
          <w:sz w:val="24"/>
        </w:rPr>
        <w:t>3.2.1</w:t>
        <w:tab/>
        <w:t>Federal Regulatory Requirements</w:t>
        <w:tab/>
        <w:t>10</w:t>
      </w:r>
    </w:p>
    <w:p>
      <w:pPr>
        <w:pStyle w:val="Normal"/>
        <w:tabs>
          <w:tab w:val="clear" w:pos="720"/>
          <w:tab w:val="left" w:pos="2160" w:leader="none"/>
          <w:tab w:val="right" w:pos="8370" w:leader="dot"/>
        </w:tabs>
        <w:spacing w:lineRule="auto" w:line="360"/>
        <w:ind w:hanging="720" w:start="2160" w:end="0"/>
        <w:rPr>
          <w:sz w:val="24"/>
        </w:rPr>
      </w:pPr>
      <w:r>
        <w:rPr>
          <w:sz w:val="24"/>
        </w:rPr>
        <w:t>3.2.2</w:t>
        <w:tab/>
        <w:t>State Regulatory Requirements</w:t>
        <w:tab/>
        <w:t>11</w:t>
      </w:r>
    </w:p>
    <w:p>
      <w:pPr>
        <w:pStyle w:val="Normal"/>
        <w:spacing w:lineRule="auto" w:line="360"/>
        <w:rPr>
          <w:sz w:val="24"/>
        </w:rPr>
      </w:pPr>
      <w:r>
        <w:rPr>
          <w:sz w:val="24"/>
        </w:rPr>
      </w:r>
    </w:p>
    <w:p>
      <w:pPr>
        <w:pStyle w:val="Normal"/>
        <w:spacing w:lineRule="auto" w:line="360"/>
        <w:rPr>
          <w:sz w:val="24"/>
        </w:rPr>
      </w:pPr>
      <w:r>
        <w:rPr>
          <w:sz w:val="24"/>
        </w:rPr>
        <w:t>Appendix A</w:t>
        <w:tab/>
        <w:t>Tables</w:t>
      </w:r>
    </w:p>
    <w:p>
      <w:pPr>
        <w:pStyle w:val="Normal"/>
        <w:numPr>
          <w:ilvl w:val="0"/>
          <w:numId w:val="2"/>
        </w:numPr>
        <w:tabs>
          <w:tab w:val="clear" w:pos="720"/>
          <w:tab w:val="left" w:pos="360" w:leader="none"/>
        </w:tabs>
        <w:spacing w:lineRule="auto" w:line="360"/>
        <w:rPr>
          <w:sz w:val="24"/>
        </w:rPr>
      </w:pPr>
      <w:r>
        <w:rPr>
          <w:sz w:val="24"/>
        </w:rPr>
        <w:t>Table 1</w:t>
        <w:tab/>
        <w:t>Proposed Turbine Emissions</w:t>
      </w:r>
    </w:p>
    <w:p>
      <w:pPr>
        <w:pStyle w:val="Normal"/>
        <w:numPr>
          <w:ilvl w:val="0"/>
          <w:numId w:val="2"/>
        </w:numPr>
        <w:tabs>
          <w:tab w:val="clear" w:pos="720"/>
          <w:tab w:val="left" w:pos="360" w:leader="none"/>
        </w:tabs>
        <w:spacing w:lineRule="auto" w:line="360"/>
        <w:rPr>
          <w:sz w:val="24"/>
        </w:rPr>
      </w:pPr>
      <w:r>
        <w:rPr>
          <w:sz w:val="24"/>
        </w:rPr>
        <w:t>Table 2</w:t>
        <w:tab/>
        <w:t>Proposed Generator Engine Emissions</w:t>
      </w:r>
    </w:p>
    <w:p>
      <w:pPr>
        <w:pStyle w:val="Normal"/>
        <w:numPr>
          <w:ilvl w:val="0"/>
          <w:numId w:val="2"/>
        </w:numPr>
        <w:tabs>
          <w:tab w:val="clear" w:pos="720"/>
          <w:tab w:val="left" w:pos="360" w:leader="none"/>
        </w:tabs>
        <w:spacing w:lineRule="auto" w:line="360"/>
        <w:rPr>
          <w:sz w:val="24"/>
        </w:rPr>
      </w:pPr>
      <w:r>
        <w:rPr>
          <w:sz w:val="24"/>
        </w:rPr>
        <w:t>Table 3</w:t>
        <w:tab/>
        <w:t>Netting Calculations</w:t>
      </w:r>
    </w:p>
    <w:p>
      <w:pPr>
        <w:pStyle w:val="Normal"/>
        <w:numPr>
          <w:ilvl w:val="0"/>
          <w:numId w:val="2"/>
        </w:numPr>
        <w:tabs>
          <w:tab w:val="clear" w:pos="720"/>
          <w:tab w:val="left" w:pos="360" w:leader="none"/>
        </w:tabs>
        <w:spacing w:lineRule="auto" w:line="360"/>
        <w:rPr>
          <w:sz w:val="24"/>
        </w:rPr>
      </w:pPr>
      <w:r>
        <w:rPr>
          <w:sz w:val="24"/>
        </w:rPr>
        <w:t>Table 4</w:t>
        <w:tab/>
        <w:t>Alternative Operating Scenario Emissions</w:t>
      </w:r>
    </w:p>
    <w:p>
      <w:pPr>
        <w:pStyle w:val="Normal"/>
        <w:numPr>
          <w:ilvl w:val="0"/>
          <w:numId w:val="2"/>
        </w:numPr>
        <w:tabs>
          <w:tab w:val="clear" w:pos="720"/>
          <w:tab w:val="left" w:pos="360" w:leader="none"/>
        </w:tabs>
        <w:spacing w:lineRule="auto" w:line="360"/>
        <w:rPr>
          <w:sz w:val="24"/>
        </w:rPr>
      </w:pPr>
      <w:r>
        <w:rPr>
          <w:sz w:val="24"/>
        </w:rPr>
        <w:t>Table 5</w:t>
        <w:tab/>
        <w:t>Station Emissions Summary</w:t>
      </w:r>
    </w:p>
    <w:p>
      <w:pPr>
        <w:pStyle w:val="Normal"/>
        <w:numPr>
          <w:ilvl w:val="0"/>
          <w:numId w:val="2"/>
        </w:numPr>
        <w:tabs>
          <w:tab w:val="clear" w:pos="720"/>
          <w:tab w:val="left" w:pos="360" w:leader="none"/>
        </w:tabs>
        <w:spacing w:lineRule="auto" w:line="360"/>
        <w:rPr>
          <w:sz w:val="24"/>
        </w:rPr>
      </w:pPr>
      <w:r>
        <w:rPr>
          <w:sz w:val="24"/>
        </w:rPr>
        <w:t>Table 6</w:t>
        <w:tab/>
        <w:t>Example Calculations</w:t>
      </w:r>
    </w:p>
    <w:p>
      <w:pPr>
        <w:pStyle w:val="Normal"/>
        <w:spacing w:lineRule="auto" w:line="360"/>
        <w:rPr>
          <w:sz w:val="24"/>
        </w:rPr>
      </w:pPr>
      <w:r>
        <w:rPr>
          <w:sz w:val="24"/>
        </w:rPr>
        <w:t>Appendix B</w:t>
        <w:tab/>
        <w:t>Proposed Custom Fuel Monitoring Schedule</w:t>
      </w:r>
    </w:p>
    <w:p>
      <w:pPr>
        <w:pStyle w:val="Normal"/>
        <w:spacing w:lineRule="auto" w:line="360"/>
        <w:rPr>
          <w:sz w:val="24"/>
        </w:rPr>
      </w:pPr>
      <w:r>
        <w:rPr>
          <w:sz w:val="24"/>
        </w:rPr>
        <w:t>Appendix C</w:t>
        <w:tab/>
        <w:t>General Electric LM2500 Turbine Data</w:t>
      </w:r>
    </w:p>
    <w:p>
      <w:pPr>
        <w:pStyle w:val="Normal"/>
        <w:spacing w:lineRule="auto" w:line="360"/>
        <w:rPr>
          <w:sz w:val="24"/>
        </w:rPr>
      </w:pPr>
      <w:r>
        <w:rPr>
          <w:sz w:val="24"/>
        </w:rPr>
        <w:t>Appendix D</w:t>
        <w:tab/>
        <w:t>Area Map, Process Flow Diagram, and Plot Plan</w:t>
      </w:r>
    </w:p>
    <w:p>
      <w:pPr>
        <w:pStyle w:val="Normal"/>
        <w:spacing w:lineRule="auto" w:line="360"/>
        <w:rPr>
          <w:sz w:val="24"/>
        </w:rPr>
      </w:pPr>
      <w:r>
        <w:rPr>
          <w:sz w:val="24"/>
        </w:rPr>
        <w:t>Appendix E</w:t>
        <w:tab/>
        <w:t>AP-42 Data Tables for Turbines and Engines</w:t>
      </w:r>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Normal"/>
        <w:spacing w:lineRule="auto" w:line="360"/>
        <w:rPr>
          <w:sz w:val="24"/>
        </w:rPr>
      </w:pPr>
      <w:r>
        <w:rPr>
          <w:sz w:val="24"/>
        </w:rPr>
        <w:t>Appendix F</w:t>
        <w:tab/>
        <w:t>Generator Engine Data</w:t>
      </w:r>
    </w:p>
    <w:p>
      <w:pPr>
        <w:pStyle w:val="Normal"/>
        <w:tabs>
          <w:tab w:val="clear" w:pos="720"/>
          <w:tab w:val="left" w:pos="360" w:leader="none"/>
        </w:tabs>
        <w:ind w:hanging="360" w:start="360" w:end="0"/>
        <w:jc w:val="center"/>
        <w:rPr>
          <w:sz w:val="24"/>
        </w:rPr>
      </w:pPr>
      <w:r>
        <w:rPr>
          <w:sz w:val="24"/>
        </w:rPr>
        <w:t>1.0</w:t>
        <w:tab/>
        <w:t>INTRODUCTION</w:t>
      </w:r>
    </w:p>
    <w:p>
      <w:pPr>
        <w:pStyle w:val="Normal"/>
        <w:rPr>
          <w:sz w:val="24"/>
        </w:rPr>
      </w:pPr>
      <w:r>
        <w:rPr>
          <w:sz w:val="24"/>
        </w:rPr>
      </w:r>
    </w:p>
    <w:p>
      <w:pPr>
        <w:pStyle w:val="Normal"/>
        <w:spacing w:lineRule="auto" w:line="360"/>
        <w:rPr>
          <w:sz w:val="24"/>
        </w:rPr>
      </w:pPr>
      <w:r>
        <w:rPr>
          <w:sz w:val="24"/>
        </w:rPr>
        <w:t>Transwestern Pipeline Company (TWP) operates a natural gas compressor station (SIC code 4922) near Kingman, Arizona.  The facility is operating under ADEQ permit number 1000156, issued on April 16, 1998.  Existing equipment at this site includes three Ingersoll-Rand 616KVT gas-fired reciprocating engines rated at 4,000-hp and two 451-hp Waukesha LRZ3520GU generator engines.  These units were originally installed in 1966 and have never been modified.</w:t>
      </w:r>
    </w:p>
    <w:p>
      <w:pPr>
        <w:pStyle w:val="Normal"/>
        <w:spacing w:lineRule="auto" w:line="360"/>
        <w:rPr>
          <w:sz w:val="24"/>
        </w:rPr>
      </w:pPr>
      <w:r>
        <w:rPr>
          <w:sz w:val="24"/>
        </w:rPr>
      </w:r>
    </w:p>
    <w:p>
      <w:pPr>
        <w:pStyle w:val="Normal"/>
        <w:spacing w:lineRule="auto" w:line="360"/>
        <w:rPr>
          <w:sz w:val="24"/>
        </w:rPr>
      </w:pPr>
      <w:r>
        <w:rPr>
          <w:sz w:val="24"/>
        </w:rPr>
        <w:t>The station, designated as the Kingman Compressor Station, is located in Mohave County approximately 40 miles east of Kingman, Arizona.  Mohave County is designated as an attainment area.  This application addresses the requirements specified by Arizona Revised Statutes (ARS).</w:t>
      </w:r>
    </w:p>
    <w:p>
      <w:pPr>
        <w:pStyle w:val="Normal"/>
        <w:spacing w:lineRule="auto" w:line="360"/>
        <w:rPr>
          <w:sz w:val="24"/>
        </w:rPr>
      </w:pPr>
      <w:r>
        <w:rPr>
          <w:sz w:val="24"/>
        </w:rPr>
      </w:r>
    </w:p>
    <w:p>
      <w:pPr>
        <w:pStyle w:val="Normal"/>
        <w:spacing w:lineRule="auto" w:line="360"/>
        <w:rPr>
          <w:sz w:val="24"/>
        </w:rPr>
      </w:pPr>
      <w:r>
        <w:rPr>
          <w:sz w:val="24"/>
        </w:rPr>
        <w:t xml:space="preserve">TWP is currently in the planning stages of the Red Rock Expansion Project.  This project impacts four natural gas compressor stations located in northern Arizona.  The four stations are located near Kingman, Flagstaff, Leupp, and Klagetoh.  The project will result in the shutting down and abandonment of approximately 12,000-hp of reciprocating gas fired engines at each station.  These units are to be replaced with a single General Electric LM2500 gas turbine at each station.  This project will have a significant benefit to air quality through the reductions of criteria air pollutants from the stations.   </w:t>
      </w:r>
    </w:p>
    <w:p>
      <w:pPr>
        <w:pStyle w:val="Normal"/>
        <w:spacing w:lineRule="auto" w:line="360"/>
        <w:rPr>
          <w:sz w:val="24"/>
        </w:rPr>
      </w:pPr>
      <w:r>
        <w:rPr>
          <w:sz w:val="24"/>
        </w:rPr>
      </w:r>
    </w:p>
    <w:p>
      <w:pPr>
        <w:pStyle w:val="Normal"/>
        <w:spacing w:lineRule="auto" w:line="360"/>
        <w:rPr>
          <w:sz w:val="24"/>
        </w:rPr>
      </w:pPr>
      <w:r>
        <w:rPr>
          <w:sz w:val="24"/>
        </w:rPr>
        <w:t xml:space="preserve">TWP is requesting air permits for this project from the ADEQ for the Kingman and Flagstaff stations.  The Leupp and Klagetoh stations are located on the Navajo Indian Reservation in Coconino and Navajo Counties.  TWP is currently seeking air permits for these two stations from the EPA Region 9 office. </w:t>
      </w:r>
      <w:r>
        <w:br w:type="page"/>
      </w:r>
    </w:p>
    <w:p>
      <w:pPr>
        <w:pStyle w:val="Normal"/>
        <w:jc w:val="center"/>
        <w:rPr>
          <w:sz w:val="24"/>
        </w:rPr>
      </w:pPr>
      <w:r>
        <w:rPr>
          <w:sz w:val="24"/>
        </w:rPr>
        <w:t>2.0 PROJECT DESCRIPTION</w:t>
      </w:r>
    </w:p>
    <w:p>
      <w:pPr>
        <w:pStyle w:val="Normal"/>
        <w:rPr>
          <w:sz w:val="24"/>
        </w:rPr>
      </w:pPr>
      <w:r>
        <w:rPr>
          <w:sz w:val="24"/>
        </w:rPr>
      </w:r>
    </w:p>
    <w:p>
      <w:pPr>
        <w:pStyle w:val="Normal"/>
        <w:spacing w:lineRule="auto" w:line="360"/>
        <w:rPr/>
      </w:pPr>
      <w:r>
        <w:rPr>
          <w:sz w:val="24"/>
        </w:rPr>
        <w:t>TWP is proposing to install a single gas-fired General Electric (GE) LM2500 gas turbine to replace the three gas-fired reciprocating compressor engines.  The turbine is site rated at approximately 33,526-shp at 60</w:t>
      </w:r>
      <w:r>
        <w:rPr>
          <w:sz w:val="24"/>
          <w:vertAlign w:val="superscript"/>
        </w:rPr>
        <w:t>o</w:t>
      </w:r>
      <w:r>
        <w:rPr>
          <w:sz w:val="24"/>
        </w:rPr>
        <w:t>F under base load conditions.  This project is necessary due to the increase in natural gas demand.  The project will significantly increase TWP’s ability to transport additional natural gas through an existing pipeline.  This project will also have significant environmental benefits resulting from a significant decrease in criteria pollutant emissions from the station.</w:t>
      </w:r>
    </w:p>
    <w:p>
      <w:pPr>
        <w:pStyle w:val="Normal"/>
        <w:spacing w:lineRule="auto" w:line="360"/>
        <w:rPr>
          <w:sz w:val="24"/>
        </w:rPr>
      </w:pPr>
      <w:r>
        <w:rPr>
          <w:sz w:val="24"/>
        </w:rPr>
      </w:r>
    </w:p>
    <w:p>
      <w:pPr>
        <w:pStyle w:val="Normal"/>
        <w:spacing w:lineRule="auto" w:line="360"/>
        <w:rPr/>
      </w:pPr>
      <w:r>
        <w:rPr>
          <w:sz w:val="24"/>
        </w:rPr>
        <w:t>TWP also proposes to replace the two existing generator engines with a single diesel generator package.  This unit will for backup power only.  TWP is proposing limited annual operating hours for this unit.  Manufacturer’s data was used to estimate NOx, CO, THC, and particulate emissions.  The latest version of AP-42 (10/96) for industrial diesel engines was used to estimate SO</w:t>
      </w:r>
      <w:r>
        <w:rPr>
          <w:sz w:val="24"/>
          <w:vertAlign w:val="subscript"/>
        </w:rPr>
        <w:t>2</w:t>
      </w:r>
      <w:r>
        <w:rPr>
          <w:sz w:val="24"/>
        </w:rPr>
        <w:t xml:space="preserve"> emissions. </w:t>
      </w:r>
    </w:p>
    <w:p>
      <w:pPr>
        <w:pStyle w:val="Normal"/>
        <w:rPr>
          <w:sz w:val="24"/>
        </w:rPr>
      </w:pPr>
      <w:r>
        <w:rPr>
          <w:sz w:val="24"/>
        </w:rPr>
      </w:r>
    </w:p>
    <w:p>
      <w:pPr>
        <w:pStyle w:val="Normal"/>
        <w:rPr>
          <w:sz w:val="24"/>
        </w:rPr>
      </w:pPr>
      <w:r>
        <w:rPr>
          <w:sz w:val="24"/>
        </w:rPr>
        <w:t>Existing equipment at the site is tabulated below:</w:t>
      </w:r>
    </w:p>
    <w:tbl>
      <w:tblPr>
        <w:tblW w:w="8856" w:type="dxa"/>
        <w:jc w:val="start"/>
        <w:tblInd w:w="0" w:type="dxa"/>
        <w:tblLayout w:type="fixed"/>
        <w:tblCellMar>
          <w:top w:w="0" w:type="dxa"/>
          <w:start w:w="108" w:type="dxa"/>
          <w:bottom w:w="0" w:type="dxa"/>
          <w:end w:w="108" w:type="dxa"/>
        </w:tblCellMar>
      </w:tblPr>
      <w:tblGrid>
        <w:gridCol w:w="4248"/>
        <w:gridCol w:w="1890"/>
        <w:gridCol w:w="2718"/>
      </w:tblGrid>
      <w:tr>
        <w:trPr/>
        <w:tc>
          <w:tcPr>
            <w:tcW w:w="4248"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Source Name</w:t>
            </w:r>
          </w:p>
        </w:tc>
        <w:tc>
          <w:tcPr>
            <w:tcW w:w="1890"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Emission Unit ID</w:t>
            </w:r>
          </w:p>
        </w:tc>
        <w:tc>
          <w:tcPr>
            <w:tcW w:w="2718"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Date of Installation</w:t>
            </w:r>
          </w:p>
        </w:tc>
      </w:tr>
      <w:tr>
        <w:trPr/>
        <w:tc>
          <w:tcPr>
            <w:tcW w:w="4248" w:type="dxa"/>
            <w:tcBorders>
              <w:top w:val="single" w:sz="6" w:space="0" w:color="000000"/>
              <w:start w:val="single" w:sz="6" w:space="0" w:color="000000"/>
              <w:bottom w:val="single" w:sz="6" w:space="0" w:color="000000"/>
              <w:end w:val="single" w:sz="6" w:space="0" w:color="000000"/>
            </w:tcBorders>
          </w:tcPr>
          <w:p>
            <w:pPr>
              <w:pStyle w:val="Normal"/>
              <w:rPr>
                <w:sz w:val="24"/>
              </w:rPr>
            </w:pPr>
            <w:r>
              <w:rPr>
                <w:sz w:val="24"/>
              </w:rPr>
              <w:t>Ingersoll-Rand 616KVT 4000-hp Engine</w:t>
            </w:r>
          </w:p>
        </w:tc>
        <w:tc>
          <w:tcPr>
            <w:tcW w:w="1890"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P1</w:t>
            </w:r>
          </w:p>
        </w:tc>
        <w:tc>
          <w:tcPr>
            <w:tcW w:w="2718"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1966</w:t>
            </w:r>
          </w:p>
        </w:tc>
      </w:tr>
      <w:tr>
        <w:trPr/>
        <w:tc>
          <w:tcPr>
            <w:tcW w:w="4248" w:type="dxa"/>
            <w:tcBorders>
              <w:top w:val="single" w:sz="6" w:space="0" w:color="000000"/>
              <w:start w:val="single" w:sz="6" w:space="0" w:color="000000"/>
              <w:bottom w:val="single" w:sz="6" w:space="0" w:color="000000"/>
              <w:end w:val="single" w:sz="6" w:space="0" w:color="000000"/>
            </w:tcBorders>
          </w:tcPr>
          <w:p>
            <w:pPr>
              <w:pStyle w:val="Normal"/>
              <w:rPr>
                <w:sz w:val="24"/>
              </w:rPr>
            </w:pPr>
            <w:r>
              <w:rPr>
                <w:sz w:val="24"/>
              </w:rPr>
              <w:t>Ingersoll-Rand 616KVT 4000-hp Engine</w:t>
            </w:r>
          </w:p>
        </w:tc>
        <w:tc>
          <w:tcPr>
            <w:tcW w:w="1890"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P2</w:t>
            </w:r>
          </w:p>
        </w:tc>
        <w:tc>
          <w:tcPr>
            <w:tcW w:w="2718"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1966</w:t>
            </w:r>
          </w:p>
        </w:tc>
      </w:tr>
      <w:tr>
        <w:trPr/>
        <w:tc>
          <w:tcPr>
            <w:tcW w:w="4248" w:type="dxa"/>
            <w:tcBorders>
              <w:top w:val="single" w:sz="6" w:space="0" w:color="000000"/>
              <w:start w:val="single" w:sz="6" w:space="0" w:color="000000"/>
              <w:bottom w:val="single" w:sz="6" w:space="0" w:color="000000"/>
              <w:end w:val="single" w:sz="6" w:space="0" w:color="000000"/>
            </w:tcBorders>
          </w:tcPr>
          <w:p>
            <w:pPr>
              <w:pStyle w:val="Normal"/>
              <w:rPr>
                <w:sz w:val="24"/>
              </w:rPr>
            </w:pPr>
            <w:r>
              <w:rPr>
                <w:sz w:val="24"/>
              </w:rPr>
              <w:t>Ingersoll-Rand 616KVT 4000-hp Engine</w:t>
            </w:r>
          </w:p>
        </w:tc>
        <w:tc>
          <w:tcPr>
            <w:tcW w:w="1890"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P3</w:t>
            </w:r>
          </w:p>
        </w:tc>
        <w:tc>
          <w:tcPr>
            <w:tcW w:w="2718"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1966</w:t>
            </w:r>
          </w:p>
        </w:tc>
      </w:tr>
      <w:tr>
        <w:trPr/>
        <w:tc>
          <w:tcPr>
            <w:tcW w:w="4248" w:type="dxa"/>
            <w:tcBorders>
              <w:top w:val="single" w:sz="6" w:space="0" w:color="000000"/>
              <w:start w:val="single" w:sz="6" w:space="0" w:color="000000"/>
              <w:bottom w:val="single" w:sz="6" w:space="0" w:color="000000"/>
              <w:end w:val="single" w:sz="6" w:space="0" w:color="000000"/>
            </w:tcBorders>
          </w:tcPr>
          <w:p>
            <w:pPr>
              <w:pStyle w:val="Normal"/>
              <w:rPr>
                <w:sz w:val="24"/>
              </w:rPr>
            </w:pPr>
            <w:r>
              <w:rPr>
                <w:sz w:val="24"/>
              </w:rPr>
              <w:t>Waukesha LRZ3520GU 451-hp Generator Engine</w:t>
            </w:r>
          </w:p>
        </w:tc>
        <w:tc>
          <w:tcPr>
            <w:tcW w:w="1890"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P4</w:t>
            </w:r>
          </w:p>
        </w:tc>
        <w:tc>
          <w:tcPr>
            <w:tcW w:w="2718"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1966</w:t>
            </w:r>
          </w:p>
        </w:tc>
      </w:tr>
      <w:tr>
        <w:trPr/>
        <w:tc>
          <w:tcPr>
            <w:tcW w:w="4248" w:type="dxa"/>
            <w:tcBorders>
              <w:top w:val="single" w:sz="6" w:space="0" w:color="000000"/>
              <w:start w:val="single" w:sz="6" w:space="0" w:color="000000"/>
              <w:bottom w:val="single" w:sz="6" w:space="0" w:color="000000"/>
              <w:end w:val="single" w:sz="6" w:space="0" w:color="000000"/>
            </w:tcBorders>
          </w:tcPr>
          <w:p>
            <w:pPr>
              <w:pStyle w:val="Normal"/>
              <w:rPr>
                <w:sz w:val="24"/>
              </w:rPr>
            </w:pPr>
            <w:r>
              <w:rPr>
                <w:sz w:val="24"/>
              </w:rPr>
              <w:t>Waukesha LRZ3520GU 451-hp Generator Engine</w:t>
            </w:r>
          </w:p>
        </w:tc>
        <w:tc>
          <w:tcPr>
            <w:tcW w:w="1890"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P5</w:t>
            </w:r>
          </w:p>
        </w:tc>
        <w:tc>
          <w:tcPr>
            <w:tcW w:w="2718"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1966</w:t>
            </w:r>
          </w:p>
        </w:tc>
      </w:tr>
      <w:tr>
        <w:trPr/>
        <w:tc>
          <w:tcPr>
            <w:tcW w:w="4248" w:type="dxa"/>
            <w:tcBorders>
              <w:top w:val="single" w:sz="6" w:space="0" w:color="000000"/>
              <w:start w:val="single" w:sz="6" w:space="0" w:color="000000"/>
              <w:bottom w:val="single" w:sz="6" w:space="0" w:color="000000"/>
              <w:end w:val="single" w:sz="6" w:space="0" w:color="000000"/>
            </w:tcBorders>
          </w:tcPr>
          <w:p>
            <w:pPr>
              <w:pStyle w:val="Normal"/>
              <w:rPr>
                <w:sz w:val="24"/>
              </w:rPr>
            </w:pPr>
            <w:r>
              <w:rPr>
                <w:sz w:val="24"/>
              </w:rPr>
              <w:t>Sivalls Heater 1.0 MMBtu/hr</w:t>
            </w:r>
          </w:p>
        </w:tc>
        <w:tc>
          <w:tcPr>
            <w:tcW w:w="1890"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P6</w:t>
            </w:r>
          </w:p>
        </w:tc>
        <w:tc>
          <w:tcPr>
            <w:tcW w:w="2718"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1966</w:t>
            </w:r>
          </w:p>
        </w:tc>
      </w:tr>
      <w:tr>
        <w:trPr/>
        <w:tc>
          <w:tcPr>
            <w:tcW w:w="4248" w:type="dxa"/>
            <w:tcBorders>
              <w:top w:val="single" w:sz="6" w:space="0" w:color="000000"/>
              <w:start w:val="single" w:sz="6" w:space="0" w:color="000000"/>
              <w:bottom w:val="single" w:sz="6" w:space="0" w:color="000000"/>
              <w:end w:val="single" w:sz="6" w:space="0" w:color="000000"/>
            </w:tcBorders>
          </w:tcPr>
          <w:p>
            <w:pPr>
              <w:pStyle w:val="Normal"/>
              <w:rPr>
                <w:sz w:val="24"/>
              </w:rPr>
            </w:pPr>
            <w:r>
              <w:rPr>
                <w:sz w:val="24"/>
              </w:rPr>
              <w:t>Non-Point Sources</w:t>
            </w:r>
          </w:p>
        </w:tc>
        <w:tc>
          <w:tcPr>
            <w:tcW w:w="1890"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F1</w:t>
            </w:r>
          </w:p>
        </w:tc>
        <w:tc>
          <w:tcPr>
            <w:tcW w:w="2718"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1966</w:t>
            </w:r>
          </w:p>
        </w:tc>
      </w:tr>
    </w:tbl>
    <w:p>
      <w:pPr>
        <w:pStyle w:val="Normal"/>
        <w:rPr>
          <w:sz w:val="24"/>
        </w:rPr>
      </w:pPr>
      <w:r>
        <w:rPr>
          <w:sz w:val="24"/>
        </w:rPr>
      </w:r>
    </w:p>
    <w:p>
      <w:pPr>
        <w:pStyle w:val="Normal"/>
        <w:spacing w:lineRule="auto" w:line="360"/>
        <w:rPr>
          <w:sz w:val="24"/>
        </w:rPr>
      </w:pPr>
      <w:r>
        <w:rPr>
          <w:sz w:val="24"/>
        </w:rPr>
        <w:t>TWP is proposing to permanently shutdown P1, P2, P3, P4, and P5.  No changes are proposed for the remaining sources.  In addition to the existing sources listed above, the station is also equipped with the following sources identified as insignificant activities:</w:t>
      </w:r>
    </w:p>
    <w:tbl>
      <w:tblPr>
        <w:tblW w:w="8856" w:type="dxa"/>
        <w:jc w:val="start"/>
        <w:tblInd w:w="0" w:type="dxa"/>
        <w:tblLayout w:type="fixed"/>
        <w:tblCellMar>
          <w:top w:w="0" w:type="dxa"/>
          <w:start w:w="108" w:type="dxa"/>
          <w:bottom w:w="0" w:type="dxa"/>
          <w:end w:w="108" w:type="dxa"/>
        </w:tblCellMar>
      </w:tblPr>
      <w:tblGrid>
        <w:gridCol w:w="1728"/>
        <w:gridCol w:w="7128"/>
      </w:tblGrid>
      <w:tr>
        <w:trPr/>
        <w:tc>
          <w:tcPr>
            <w:tcW w:w="1728"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Source No.</w:t>
            </w:r>
          </w:p>
        </w:tc>
        <w:tc>
          <w:tcPr>
            <w:tcW w:w="7128"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Description</w:t>
            </w:r>
          </w:p>
        </w:tc>
      </w:tr>
      <w:tr>
        <w:trPr/>
        <w:tc>
          <w:tcPr>
            <w:tcW w:w="1728"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1</w:t>
            </w:r>
          </w:p>
        </w:tc>
        <w:tc>
          <w:tcPr>
            <w:tcW w:w="7128" w:type="dxa"/>
            <w:tcBorders>
              <w:top w:val="single" w:sz="6" w:space="0" w:color="000000"/>
              <w:start w:val="single" w:sz="6" w:space="0" w:color="000000"/>
              <w:bottom w:val="single" w:sz="6" w:space="0" w:color="000000"/>
              <w:end w:val="single" w:sz="6" w:space="0" w:color="000000"/>
            </w:tcBorders>
          </w:tcPr>
          <w:p>
            <w:pPr>
              <w:pStyle w:val="Normal"/>
              <w:rPr>
                <w:sz w:val="24"/>
              </w:rPr>
            </w:pPr>
            <w:r>
              <w:rPr>
                <w:sz w:val="24"/>
              </w:rPr>
              <w:t>11,750 gallon lube oil tank</w:t>
            </w:r>
          </w:p>
        </w:tc>
      </w:tr>
      <w:tr>
        <w:trPr/>
        <w:tc>
          <w:tcPr>
            <w:tcW w:w="1728"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2</w:t>
            </w:r>
          </w:p>
        </w:tc>
        <w:tc>
          <w:tcPr>
            <w:tcW w:w="7128" w:type="dxa"/>
            <w:tcBorders>
              <w:top w:val="single" w:sz="6" w:space="0" w:color="000000"/>
              <w:start w:val="single" w:sz="6" w:space="0" w:color="000000"/>
              <w:bottom w:val="single" w:sz="6" w:space="0" w:color="000000"/>
              <w:end w:val="single" w:sz="6" w:space="0" w:color="000000"/>
            </w:tcBorders>
          </w:tcPr>
          <w:p>
            <w:pPr>
              <w:pStyle w:val="Normal"/>
              <w:rPr>
                <w:sz w:val="24"/>
              </w:rPr>
            </w:pPr>
            <w:r>
              <w:rPr>
                <w:sz w:val="24"/>
              </w:rPr>
              <w:t>8,800 gallon lube oil tank</w:t>
            </w:r>
          </w:p>
        </w:tc>
      </w:tr>
      <w:tr>
        <w:trPr/>
        <w:tc>
          <w:tcPr>
            <w:tcW w:w="1728"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3</w:t>
            </w:r>
          </w:p>
        </w:tc>
        <w:tc>
          <w:tcPr>
            <w:tcW w:w="7128" w:type="dxa"/>
            <w:tcBorders>
              <w:top w:val="single" w:sz="6" w:space="0" w:color="000000"/>
              <w:start w:val="single" w:sz="6" w:space="0" w:color="000000"/>
              <w:bottom w:val="single" w:sz="6" w:space="0" w:color="000000"/>
              <w:end w:val="single" w:sz="6" w:space="0" w:color="000000"/>
            </w:tcBorders>
          </w:tcPr>
          <w:p>
            <w:pPr>
              <w:pStyle w:val="Normal"/>
              <w:rPr>
                <w:sz w:val="24"/>
              </w:rPr>
            </w:pPr>
            <w:r>
              <w:rPr>
                <w:sz w:val="24"/>
              </w:rPr>
              <w:t>3,150 gallon used oil tank</w:t>
            </w:r>
          </w:p>
        </w:tc>
      </w:tr>
      <w:tr>
        <w:trPr/>
        <w:tc>
          <w:tcPr>
            <w:tcW w:w="1728"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4</w:t>
            </w:r>
          </w:p>
        </w:tc>
        <w:tc>
          <w:tcPr>
            <w:tcW w:w="7128" w:type="dxa"/>
            <w:tcBorders>
              <w:top w:val="single" w:sz="6" w:space="0" w:color="000000"/>
              <w:start w:val="single" w:sz="6" w:space="0" w:color="000000"/>
              <w:bottom w:val="single" w:sz="6" w:space="0" w:color="000000"/>
              <w:end w:val="single" w:sz="6" w:space="0" w:color="000000"/>
            </w:tcBorders>
          </w:tcPr>
          <w:p>
            <w:pPr>
              <w:pStyle w:val="Normal"/>
              <w:rPr>
                <w:sz w:val="24"/>
              </w:rPr>
            </w:pPr>
            <w:r>
              <w:rPr>
                <w:sz w:val="24"/>
              </w:rPr>
              <w:t>5,040 gallon ethylene glycol tank</w:t>
            </w:r>
          </w:p>
        </w:tc>
      </w:tr>
      <w:tr>
        <w:trPr/>
        <w:tc>
          <w:tcPr>
            <w:tcW w:w="1728"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5</w:t>
            </w:r>
          </w:p>
        </w:tc>
        <w:tc>
          <w:tcPr>
            <w:tcW w:w="7128" w:type="dxa"/>
            <w:tcBorders>
              <w:top w:val="single" w:sz="6" w:space="0" w:color="000000"/>
              <w:start w:val="single" w:sz="6" w:space="0" w:color="000000"/>
              <w:bottom w:val="single" w:sz="6" w:space="0" w:color="000000"/>
              <w:end w:val="single" w:sz="6" w:space="0" w:color="000000"/>
            </w:tcBorders>
          </w:tcPr>
          <w:p>
            <w:pPr>
              <w:pStyle w:val="Normal"/>
              <w:rPr>
                <w:sz w:val="24"/>
              </w:rPr>
            </w:pPr>
            <w:r>
              <w:rPr>
                <w:sz w:val="24"/>
              </w:rPr>
              <w:t>3,150 gallon ethylene glycol tank</w:t>
            </w:r>
          </w:p>
        </w:tc>
      </w:tr>
      <w:tr>
        <w:trPr/>
        <w:tc>
          <w:tcPr>
            <w:tcW w:w="1728"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6</w:t>
            </w:r>
          </w:p>
        </w:tc>
        <w:tc>
          <w:tcPr>
            <w:tcW w:w="7128" w:type="dxa"/>
            <w:tcBorders>
              <w:top w:val="single" w:sz="6" w:space="0" w:color="000000"/>
              <w:start w:val="single" w:sz="6" w:space="0" w:color="000000"/>
              <w:bottom w:val="single" w:sz="6" w:space="0" w:color="000000"/>
              <w:end w:val="single" w:sz="6" w:space="0" w:color="000000"/>
            </w:tcBorders>
          </w:tcPr>
          <w:p>
            <w:pPr>
              <w:pStyle w:val="Normal"/>
              <w:rPr>
                <w:sz w:val="24"/>
              </w:rPr>
            </w:pPr>
            <w:r>
              <w:rPr>
                <w:sz w:val="24"/>
              </w:rPr>
              <w:t>8,820 gallon oily water tank</w:t>
            </w:r>
          </w:p>
        </w:tc>
      </w:tr>
      <w:tr>
        <w:trPr/>
        <w:tc>
          <w:tcPr>
            <w:tcW w:w="1728"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7</w:t>
            </w:r>
          </w:p>
        </w:tc>
        <w:tc>
          <w:tcPr>
            <w:tcW w:w="7128" w:type="dxa"/>
            <w:tcBorders>
              <w:top w:val="single" w:sz="6" w:space="0" w:color="000000"/>
              <w:start w:val="single" w:sz="6" w:space="0" w:color="000000"/>
              <w:bottom w:val="single" w:sz="6" w:space="0" w:color="000000"/>
              <w:end w:val="single" w:sz="6" w:space="0" w:color="000000"/>
            </w:tcBorders>
          </w:tcPr>
          <w:p>
            <w:pPr>
              <w:pStyle w:val="Normal"/>
              <w:rPr>
                <w:sz w:val="24"/>
              </w:rPr>
            </w:pPr>
            <w:r>
              <w:rPr>
                <w:sz w:val="24"/>
              </w:rPr>
              <w:t>16,080 gallon oily water tank</w:t>
            </w:r>
          </w:p>
        </w:tc>
      </w:tr>
      <w:tr>
        <w:trPr/>
        <w:tc>
          <w:tcPr>
            <w:tcW w:w="1728"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8</w:t>
            </w:r>
          </w:p>
        </w:tc>
        <w:tc>
          <w:tcPr>
            <w:tcW w:w="7128" w:type="dxa"/>
            <w:tcBorders>
              <w:top w:val="single" w:sz="6" w:space="0" w:color="000000"/>
              <w:start w:val="single" w:sz="6" w:space="0" w:color="000000"/>
              <w:bottom w:val="single" w:sz="6" w:space="0" w:color="000000"/>
              <w:end w:val="single" w:sz="6" w:space="0" w:color="000000"/>
            </w:tcBorders>
          </w:tcPr>
          <w:p>
            <w:pPr>
              <w:pStyle w:val="Normal"/>
              <w:rPr>
                <w:sz w:val="24"/>
              </w:rPr>
            </w:pPr>
            <w:r>
              <w:rPr>
                <w:sz w:val="24"/>
              </w:rPr>
              <w:t>23,100 gallon condensate tank</w:t>
            </w:r>
          </w:p>
        </w:tc>
      </w:tr>
      <w:tr>
        <w:trPr/>
        <w:tc>
          <w:tcPr>
            <w:tcW w:w="1728"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9</w:t>
            </w:r>
          </w:p>
        </w:tc>
        <w:tc>
          <w:tcPr>
            <w:tcW w:w="7128" w:type="dxa"/>
            <w:tcBorders>
              <w:top w:val="single" w:sz="6" w:space="0" w:color="000000"/>
              <w:start w:val="single" w:sz="6" w:space="0" w:color="000000"/>
              <w:bottom w:val="single" w:sz="6" w:space="0" w:color="000000"/>
              <w:end w:val="single" w:sz="6" w:space="0" w:color="000000"/>
            </w:tcBorders>
          </w:tcPr>
          <w:p>
            <w:pPr>
              <w:pStyle w:val="Normal"/>
              <w:rPr>
                <w:sz w:val="24"/>
              </w:rPr>
            </w:pPr>
            <w:r>
              <w:rPr>
                <w:sz w:val="24"/>
              </w:rPr>
              <w:t>1,260 gallon condensate tank</w:t>
            </w:r>
          </w:p>
        </w:tc>
      </w:tr>
      <w:tr>
        <w:trPr/>
        <w:tc>
          <w:tcPr>
            <w:tcW w:w="1728"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10</w:t>
            </w:r>
          </w:p>
        </w:tc>
        <w:tc>
          <w:tcPr>
            <w:tcW w:w="7128" w:type="dxa"/>
            <w:tcBorders>
              <w:top w:val="single" w:sz="6" w:space="0" w:color="000000"/>
              <w:start w:val="single" w:sz="6" w:space="0" w:color="000000"/>
              <w:bottom w:val="single" w:sz="6" w:space="0" w:color="000000"/>
              <w:end w:val="single" w:sz="6" w:space="0" w:color="000000"/>
            </w:tcBorders>
          </w:tcPr>
          <w:p>
            <w:pPr>
              <w:pStyle w:val="Normal"/>
              <w:rPr>
                <w:sz w:val="24"/>
              </w:rPr>
            </w:pPr>
            <w:r>
              <w:rPr>
                <w:sz w:val="24"/>
              </w:rPr>
              <w:t>vents, valves, flanges</w:t>
            </w:r>
          </w:p>
        </w:tc>
      </w:tr>
    </w:tbl>
    <w:p>
      <w:pPr>
        <w:pStyle w:val="Normal"/>
        <w:rPr>
          <w:sz w:val="24"/>
        </w:rPr>
      </w:pPr>
      <w:r>
        <w:rPr>
          <w:sz w:val="24"/>
        </w:rPr>
      </w:r>
    </w:p>
    <w:p>
      <w:pPr>
        <w:pStyle w:val="Normal"/>
        <w:rPr>
          <w:sz w:val="24"/>
        </w:rPr>
      </w:pPr>
      <w:r>
        <w:rPr>
          <w:sz w:val="24"/>
        </w:rPr>
        <w:t>At this time TWP proposes no changes to this list of insignificant activities.</w:t>
      </w:r>
    </w:p>
    <w:p>
      <w:pPr>
        <w:pStyle w:val="Normal"/>
        <w:rPr>
          <w:sz w:val="24"/>
        </w:rPr>
      </w:pPr>
      <w:r>
        <w:rPr>
          <w:sz w:val="24"/>
        </w:rPr>
      </w:r>
    </w:p>
    <w:p>
      <w:pPr>
        <w:pStyle w:val="Normal"/>
        <w:spacing w:lineRule="auto" w:line="360"/>
        <w:rPr>
          <w:sz w:val="24"/>
        </w:rPr>
      </w:pPr>
      <w:r>
        <w:rPr>
          <w:sz w:val="24"/>
        </w:rPr>
        <w:t>A block flow diagram is included in this application.  Fuel fired by the engines and the proposed turbine is restricted to pipeline quality natural gas with negligible sulfur content.</w:t>
      </w:r>
    </w:p>
    <w:p>
      <w:pPr>
        <w:pStyle w:val="Normal"/>
        <w:rPr>
          <w:sz w:val="24"/>
        </w:rPr>
      </w:pPr>
      <w:r>
        <w:rPr>
          <w:sz w:val="24"/>
        </w:rPr>
      </w:r>
    </w:p>
    <w:p>
      <w:pPr>
        <w:pStyle w:val="Normal"/>
        <w:spacing w:lineRule="auto" w:line="360"/>
        <w:rPr>
          <w:sz w:val="24"/>
          <w:u w:val="single"/>
        </w:rPr>
      </w:pPr>
      <w:r>
        <w:rPr>
          <w:sz w:val="24"/>
          <w:u w:val="single"/>
        </w:rPr>
        <w:t>2.1 Project Emissions</w:t>
      </w:r>
    </w:p>
    <w:p>
      <w:pPr>
        <w:pStyle w:val="Normal"/>
        <w:spacing w:lineRule="auto" w:line="360"/>
        <w:rPr/>
      </w:pPr>
      <w:r>
        <w:rPr>
          <w:sz w:val="24"/>
        </w:rPr>
        <w:t>Average and maximum emissions of criteria pollutants from the proposed turbine are presented on Table 1.  Emissions of NOx, CO, and THC were provide by the turbine manufacturer.  Emissions vary over the ambient temperature and load range.  However, at base loads NOx and CO emissions are shown not to exceed 25 ppmv @ 15% O</w:t>
      </w:r>
      <w:r>
        <w:rPr>
          <w:sz w:val="24"/>
          <w:vertAlign w:val="subscript"/>
        </w:rPr>
        <w:t>2</w:t>
      </w:r>
      <w:r>
        <w:rPr>
          <w:sz w:val="24"/>
        </w:rPr>
        <w:t>.  Maximum mass NOx, CO, and THC emissions occur at 0</w:t>
      </w:r>
      <w:r>
        <w:rPr>
          <w:sz w:val="24"/>
          <w:vertAlign w:val="superscript"/>
        </w:rPr>
        <w:t>o</w:t>
      </w:r>
      <w:r>
        <w:rPr>
          <w:sz w:val="24"/>
        </w:rPr>
        <w:t>F at 64% load conditions.  This application represents maximum hourly emissions at this temperature and load condition.</w:t>
      </w:r>
    </w:p>
    <w:p>
      <w:pPr>
        <w:pStyle w:val="Normal"/>
        <w:spacing w:lineRule="auto" w:line="360"/>
        <w:rPr>
          <w:sz w:val="24"/>
        </w:rPr>
      </w:pPr>
      <w:r>
        <w:rPr>
          <w:sz w:val="24"/>
        </w:rPr>
      </w:r>
    </w:p>
    <w:p>
      <w:pPr>
        <w:pStyle w:val="Normal"/>
        <w:spacing w:lineRule="auto" w:line="360"/>
        <w:rPr>
          <w:sz w:val="24"/>
        </w:rPr>
      </w:pPr>
      <w:r>
        <w:rPr>
          <w:sz w:val="24"/>
        </w:rPr>
        <w:t>Proposed annual emissions from the turbine were estimated on the assumption that the unit would operate at base load 80% of the time, and at reduced (64%) load the remaining 20% of the time.  This results in annual (tpy) emission limitations of 128.34, 78.27, and 2.65 for NOx, CO, and VOC respectively.  Hourly and annual VOC emissions are conservatively estimated assuming THC is 10% nm-VOC.  TWP has included a 15% safety factor in the proposed emissions for all pollutants.  Due to the extreme ambient temperature fluctuations in this area and its impact on turbine emissions, TWP believes this safety margin is justified.</w:t>
      </w:r>
    </w:p>
    <w:p>
      <w:pPr>
        <w:pStyle w:val="Normal"/>
        <w:spacing w:lineRule="auto" w:line="360"/>
        <w:rPr>
          <w:sz w:val="24"/>
        </w:rPr>
      </w:pPr>
      <w:r>
        <w:rPr>
          <w:sz w:val="24"/>
        </w:rPr>
      </w:r>
    </w:p>
    <w:p>
      <w:pPr>
        <w:pStyle w:val="Normal"/>
        <w:spacing w:lineRule="auto" w:line="360"/>
        <w:rPr>
          <w:sz w:val="24"/>
        </w:rPr>
      </w:pPr>
      <w:r>
        <w:rPr>
          <w:sz w:val="24"/>
        </w:rPr>
      </w:r>
    </w:p>
    <w:p>
      <w:pPr>
        <w:pStyle w:val="Normal"/>
        <w:spacing w:lineRule="auto" w:line="360"/>
        <w:rPr/>
      </w:pPr>
      <w:r>
        <w:rPr>
          <w:sz w:val="24"/>
        </w:rPr>
        <w:t>Emissions of particulate, SO</w:t>
      </w:r>
      <w:r>
        <w:rPr>
          <w:sz w:val="24"/>
          <w:vertAlign w:val="subscript"/>
        </w:rPr>
        <w:t>2</w:t>
      </w:r>
      <w:r>
        <w:rPr>
          <w:sz w:val="24"/>
        </w:rPr>
        <w:t>, and formaldehyde (HAP) were estimated using the current version of AP-42 Section 3.1 (04/00) for gas turbines.  These emission factors are presented as lb/MMBtu.  Short term emissions of these pollutants were based on the worst case heat rate which occurs at 12.8</w:t>
      </w:r>
      <w:r>
        <w:rPr>
          <w:sz w:val="24"/>
          <w:vertAlign w:val="superscript"/>
        </w:rPr>
        <w:t>o</w:t>
      </w:r>
      <w:r>
        <w:rPr>
          <w:sz w:val="24"/>
        </w:rPr>
        <w:t>F.  Annual emissions were estimated using the worst case heat rate under base load conditions.  These emissions are insignificant and were not considered in the netting calculations.</w:t>
      </w:r>
    </w:p>
    <w:p>
      <w:pPr>
        <w:pStyle w:val="Normal"/>
        <w:spacing w:lineRule="auto" w:line="360"/>
        <w:rPr>
          <w:sz w:val="24"/>
        </w:rPr>
      </w:pPr>
      <w:r>
        <w:rPr>
          <w:sz w:val="24"/>
        </w:rPr>
      </w:r>
    </w:p>
    <w:p>
      <w:pPr>
        <w:pStyle w:val="Normal"/>
        <w:spacing w:lineRule="auto" w:line="360"/>
        <w:rPr/>
      </w:pPr>
      <w:r>
        <w:rPr>
          <w:sz w:val="24"/>
        </w:rPr>
        <w:t>Proposed emissions from the generator engine are shown on Table 2.  Emissions of NOx, CO, THC, and particulate were estimated using manufacturer’s data.  Emissions of SO</w:t>
      </w:r>
      <w:r>
        <w:rPr>
          <w:sz w:val="24"/>
          <w:vertAlign w:val="subscript"/>
        </w:rPr>
        <w:t>2</w:t>
      </w:r>
      <w:r>
        <w:rPr>
          <w:sz w:val="24"/>
        </w:rPr>
        <w:t xml:space="preserve"> emissions were estimated using the 10/96 version of AP-42 Section 3.3.</w:t>
      </w:r>
    </w:p>
    <w:p>
      <w:pPr>
        <w:pStyle w:val="Normal"/>
        <w:spacing w:lineRule="auto" w:line="360"/>
        <w:rPr>
          <w:sz w:val="24"/>
        </w:rPr>
      </w:pPr>
      <w:r>
        <w:rPr>
          <w:sz w:val="24"/>
        </w:rPr>
      </w:r>
    </w:p>
    <w:p>
      <w:pPr>
        <w:pStyle w:val="Normal"/>
        <w:spacing w:lineRule="auto" w:line="360"/>
        <w:rPr>
          <w:sz w:val="24"/>
        </w:rPr>
      </w:pPr>
      <w:r>
        <w:rPr>
          <w:sz w:val="24"/>
        </w:rPr>
        <w:t>TWP anticipates operating the turbine 24 hours/day, 7 days/week, 52 weeks/year.  The generator engine is for backup purposes only and TWP is requesting a annual operating limitation of 2,000 hours.  It is anticipated that turbine and generator engine operations will be spread evenly (25%) over the spring, summer, fall, and winter quarters.  TWP is requesting no operating hour restrictions for the turbine and a 2,000 hour/year limitation on the diesel generator engine.</w:t>
      </w:r>
    </w:p>
    <w:p>
      <w:pPr>
        <w:pStyle w:val="Normal"/>
        <w:spacing w:lineRule="auto" w:line="360"/>
        <w:rPr>
          <w:sz w:val="24"/>
        </w:rPr>
      </w:pPr>
      <w:r>
        <w:rPr>
          <w:sz w:val="24"/>
        </w:rPr>
      </w:r>
    </w:p>
    <w:p>
      <w:pPr>
        <w:pStyle w:val="Normal"/>
        <w:spacing w:lineRule="auto" w:line="360"/>
        <w:rPr>
          <w:sz w:val="24"/>
          <w:u w:val="single"/>
        </w:rPr>
      </w:pPr>
      <w:r>
        <w:rPr>
          <w:sz w:val="24"/>
          <w:u w:val="single"/>
        </w:rPr>
        <w:t>2.2 Netting Calculations</w:t>
      </w:r>
    </w:p>
    <w:p>
      <w:pPr>
        <w:pStyle w:val="Normal"/>
        <w:spacing w:lineRule="auto" w:line="360"/>
        <w:rPr>
          <w:sz w:val="24"/>
        </w:rPr>
      </w:pPr>
      <w:r>
        <w:rPr>
          <w:sz w:val="24"/>
        </w:rPr>
        <w:t>With regards to PSD applicability (40 CFR 52.21) the Kingman Compressor Station is classified as an existing major source of NOx and CO.  The original compressor and generator engines were installed in 1966 and have never been modified.  Therefore PSD applicability has never been triggered.  The proposed Red Rock Expansion Project will result in an increase in NOx and CO.  Evaluating the project on its own merits, the proposed NOx and CO emissions exceed the significance level defined by 40 CFR 52.21.  Therefore, PSD is potentially applicable to this project.</w:t>
      </w:r>
    </w:p>
    <w:p>
      <w:pPr>
        <w:pStyle w:val="Normal"/>
        <w:spacing w:lineRule="auto" w:line="360"/>
        <w:rPr>
          <w:sz w:val="24"/>
        </w:rPr>
      </w:pPr>
      <w:r>
        <w:rPr>
          <w:sz w:val="24"/>
        </w:rPr>
      </w:r>
    </w:p>
    <w:p>
      <w:pPr>
        <w:pStyle w:val="Normal"/>
        <w:spacing w:lineRule="auto" w:line="360"/>
        <w:rPr>
          <w:sz w:val="24"/>
        </w:rPr>
      </w:pPr>
      <w:r>
        <w:rPr>
          <w:sz w:val="24"/>
        </w:rPr>
        <w:t>PSD applicability may be shown to be negative if it can be proven that the net emission increase does not exceed the significance levels.  This is accomplished by comparing the contemporaneous decreases and increases at the site.  If the net increase is less than the defined significance levels, then PSD would not be applicable.</w:t>
      </w:r>
    </w:p>
    <w:p>
      <w:pPr>
        <w:pStyle w:val="Normal"/>
        <w:spacing w:lineRule="auto" w:line="360"/>
        <w:rPr>
          <w:sz w:val="24"/>
        </w:rPr>
      </w:pPr>
      <w:r>
        <w:rPr>
          <w:sz w:val="24"/>
        </w:rPr>
      </w:r>
    </w:p>
    <w:p>
      <w:pPr>
        <w:pStyle w:val="Normal"/>
        <w:spacing w:lineRule="auto" w:line="360"/>
        <w:rPr>
          <w:sz w:val="24"/>
        </w:rPr>
      </w:pPr>
      <w:r>
        <w:rPr>
          <w:sz w:val="24"/>
        </w:rPr>
        <w:t>A review of station records indicates that there have been no contemporaneous increases at the Kingman Compressor Station in the past five years.  Therefore, the only increases included in the netting calculations are from the proposed turbine and generator engine.  There have been no contemporaneous decreases at the station in the past five years.  Therefore the only decreases at the station to be considered in the netting calculations are from the permanent shutdown of the three existing Ingersoll-Rand reciprocating compressor engines and the two Waukesha LRZ3520GU generator engines.</w:t>
      </w:r>
    </w:p>
    <w:p>
      <w:pPr>
        <w:pStyle w:val="Normal"/>
        <w:spacing w:lineRule="auto" w:line="360"/>
        <w:rPr>
          <w:sz w:val="24"/>
        </w:rPr>
      </w:pPr>
      <w:r>
        <w:rPr>
          <w:sz w:val="24"/>
        </w:rPr>
      </w:r>
    </w:p>
    <w:p>
      <w:pPr>
        <w:pStyle w:val="Normal"/>
        <w:spacing w:lineRule="auto" w:line="360"/>
        <w:rPr/>
      </w:pPr>
      <w:r>
        <w:rPr>
          <w:sz w:val="24"/>
        </w:rPr>
        <w:t>Netting calculations are shown on Table 3.  Based on the netting calculations emissions of NOx and CO will be reduced significantly such that PSD review will not be applicable to this project.  The net change in particulate, VOC, and SO</w:t>
      </w:r>
      <w:r>
        <w:rPr>
          <w:sz w:val="24"/>
          <w:vertAlign w:val="subscript"/>
        </w:rPr>
        <w:t>2</w:t>
      </w:r>
      <w:r>
        <w:rPr>
          <w:sz w:val="24"/>
        </w:rPr>
        <w:t xml:space="preserve"> emissions are insignificant.</w:t>
      </w:r>
    </w:p>
    <w:p>
      <w:pPr>
        <w:pStyle w:val="Normal"/>
        <w:spacing w:lineRule="auto" w:line="360"/>
        <w:rPr>
          <w:sz w:val="24"/>
        </w:rPr>
      </w:pPr>
      <w:r>
        <w:rPr>
          <w:sz w:val="24"/>
        </w:rPr>
      </w:r>
    </w:p>
    <w:p>
      <w:pPr>
        <w:pStyle w:val="Normal"/>
        <w:spacing w:lineRule="auto" w:line="360"/>
        <w:rPr>
          <w:sz w:val="24"/>
          <w:u w:val="single"/>
        </w:rPr>
      </w:pPr>
      <w:r>
        <w:rPr>
          <w:sz w:val="24"/>
          <w:u w:val="single"/>
        </w:rPr>
        <w:t>2.3 Alternative Operating Scenario Emissions</w:t>
      </w:r>
    </w:p>
    <w:p>
      <w:pPr>
        <w:pStyle w:val="Normal"/>
        <w:spacing w:lineRule="auto" w:line="360"/>
        <w:rPr>
          <w:sz w:val="24"/>
        </w:rPr>
      </w:pPr>
      <w:r>
        <w:rPr>
          <w:sz w:val="24"/>
        </w:rPr>
        <w:t>Due to the increase in demand for reliable natural gas delivery capabilities TWP is requesting an alternative operating scenario for this project.  As with any new project involving sophisticated equipment TWP needs to anticipate startup problems with the turbine and generator engines.  It is anticipated that this shake down period could take up to six (6) months to remedy.  Therefore, TWP is requesting that the ADEQ allow the use of the three reciprocating compressor engines as backups to the new equipment.  No alternative operating scenario is requested for the Waukesha generator engines.  These units will be permanently shutdown once the diesel unit is installed and operational.</w:t>
      </w:r>
    </w:p>
    <w:p>
      <w:pPr>
        <w:pStyle w:val="Normal"/>
        <w:spacing w:lineRule="auto" w:line="360"/>
        <w:rPr>
          <w:sz w:val="24"/>
        </w:rPr>
      </w:pPr>
      <w:r>
        <w:rPr>
          <w:sz w:val="24"/>
        </w:rPr>
      </w:r>
    </w:p>
    <w:p>
      <w:pPr>
        <w:pStyle w:val="Normal"/>
        <w:spacing w:lineRule="auto" w:line="360"/>
        <w:rPr>
          <w:sz w:val="24"/>
        </w:rPr>
      </w:pPr>
      <w:r>
        <w:rPr>
          <w:sz w:val="24"/>
        </w:rPr>
        <w:t>Proposed alternative operating scenario emissions are shown on Table 4.  TWP proposes that the compressor engines be allowed a six month operating window beginning on the date of initial startup of the turbine.  At the end of this six month period the three Ingersoll-Rand compressor engines will be permanently shutdown and abandoned in-place.  TWP will not operate the Ingersoll-Rand compressor engines concurrently with the turbine.</w:t>
      </w:r>
    </w:p>
    <w:p>
      <w:pPr>
        <w:pStyle w:val="Normal"/>
        <w:spacing w:lineRule="auto" w:line="360"/>
        <w:rPr>
          <w:sz w:val="24"/>
        </w:rPr>
      </w:pPr>
      <w:r>
        <w:rPr>
          <w:sz w:val="24"/>
        </w:rPr>
      </w:r>
    </w:p>
    <w:p>
      <w:pPr>
        <w:pStyle w:val="Normal"/>
        <w:spacing w:lineRule="auto" w:line="360"/>
        <w:rPr>
          <w:sz w:val="24"/>
        </w:rPr>
      </w:pPr>
      <w:r>
        <w:rPr>
          <w:sz w:val="24"/>
        </w:rPr>
        <w:t>The proposed six month operating window is based on calendar months, not on cumulative operating hours.  As required by 40 CFR 60 Subpart A, TWP will provide the ADEQ written notification of the turbine startup date.  Existing equipment will be permanently shutdown six months from this date.  Proposed emissions under the alternative scenario are based on potential engine emissions for six months (4,380 hours) of continuous operating time.  Since the engines will not be operated concurrently with the new equipment, PSD applicability will not be triggered under the alternative scenario since the past 2-year operating schedule exceeds the alternative operating scenario schedule.</w:t>
      </w:r>
    </w:p>
    <w:p>
      <w:pPr>
        <w:pStyle w:val="Normal"/>
        <w:spacing w:lineRule="auto" w:line="360"/>
        <w:rPr>
          <w:sz w:val="24"/>
        </w:rPr>
      </w:pPr>
      <w:r>
        <w:rPr>
          <w:sz w:val="24"/>
        </w:rPr>
      </w:r>
    </w:p>
    <w:p>
      <w:pPr>
        <w:pStyle w:val="Normal"/>
        <w:spacing w:lineRule="auto" w:line="360"/>
        <w:rPr>
          <w:sz w:val="24"/>
        </w:rPr>
      </w:pPr>
      <w:r>
        <w:rPr>
          <w:sz w:val="24"/>
        </w:rPr>
        <w:t>When maintenance activities are required on gas turbines it is customary for the operator to replace the core power unit with a like kind unit, rather than replace the entire turbine package.  This type of replacement is considered routine maintenance for turbines.  TWP proposes that the permit contain a provision that allows written notification to the agency for this type of activity.  This flexibility will allow TWP to respond quickly to mechanical problems while minimizing gas delivery service interruptions.</w:t>
      </w:r>
    </w:p>
    <w:p>
      <w:pPr>
        <w:pStyle w:val="Normal"/>
        <w:spacing w:lineRule="auto" w:line="360"/>
        <w:rPr>
          <w:sz w:val="24"/>
        </w:rPr>
      </w:pPr>
      <w:r>
        <w:rPr>
          <w:sz w:val="24"/>
        </w:rPr>
      </w:r>
    </w:p>
    <w:p>
      <w:pPr>
        <w:pStyle w:val="Normal"/>
        <w:spacing w:lineRule="auto" w:line="360"/>
        <w:rPr>
          <w:sz w:val="24"/>
          <w:u w:val="single"/>
        </w:rPr>
      </w:pPr>
      <w:r>
        <w:rPr>
          <w:sz w:val="24"/>
          <w:u w:val="single"/>
        </w:rPr>
        <w:t>2.4 Ambient Air Modeling</w:t>
      </w:r>
    </w:p>
    <w:p>
      <w:pPr>
        <w:pStyle w:val="Normal"/>
        <w:spacing w:lineRule="auto" w:line="360"/>
        <w:rPr>
          <w:sz w:val="24"/>
        </w:rPr>
      </w:pPr>
      <w:r>
        <w:rPr>
          <w:sz w:val="24"/>
        </w:rPr>
        <w:t>This project will result in a significant decrease in NOx and CO emissions from the Kingman Compressor Station.  Therefore, TWP proposes that ambient air modeling not be required since the project will result in an overall improvement in air quality.</w:t>
      </w:r>
    </w:p>
    <w:p>
      <w:pPr>
        <w:pStyle w:val="Normal"/>
        <w:spacing w:lineRule="auto" w:line="360"/>
        <w:rPr>
          <w:sz w:val="24"/>
        </w:rPr>
      </w:pPr>
      <w:r>
        <w:rPr>
          <w:sz w:val="24"/>
        </w:rPr>
      </w:r>
    </w:p>
    <w:p>
      <w:pPr>
        <w:pStyle w:val="Normal"/>
        <w:spacing w:lineRule="auto" w:line="360"/>
        <w:rPr>
          <w:sz w:val="24"/>
          <w:u w:val="single"/>
        </w:rPr>
      </w:pPr>
      <w:r>
        <w:rPr>
          <w:sz w:val="24"/>
          <w:u w:val="single"/>
        </w:rPr>
        <w:t>2.5 BACT Analysis</w:t>
      </w:r>
    </w:p>
    <w:p>
      <w:pPr>
        <w:pStyle w:val="Normal"/>
        <w:spacing w:lineRule="auto" w:line="360"/>
        <w:rPr/>
      </w:pPr>
      <w:r>
        <w:rPr>
          <w:sz w:val="24"/>
        </w:rPr>
        <w:t>TWP reviewed the EPA and California Air Resources Board BACT sites for recent control technology determinations.  BACT determinations are based on economic and technological feasibility.  The San Joaquin Valley Unified APCD has a listed BACT determination for a Southern California Gas Company gas compressor turbine having an enforceable NOx permit limitation of 25 ppmv @15% O</w:t>
      </w:r>
      <w:r>
        <w:rPr>
          <w:sz w:val="24"/>
          <w:vertAlign w:val="subscript"/>
        </w:rPr>
        <w:t>2</w:t>
      </w:r>
      <w:r>
        <w:rPr>
          <w:sz w:val="24"/>
        </w:rPr>
        <w:t>.   The proposed GE LM2500 has a NOx emission rate of 25 ppmv @15% O</w:t>
      </w:r>
      <w:r>
        <w:rPr>
          <w:sz w:val="24"/>
          <w:vertAlign w:val="subscript"/>
        </w:rPr>
        <w:t>2</w:t>
      </w:r>
      <w:r>
        <w:rPr>
          <w:sz w:val="24"/>
        </w:rPr>
        <w:t xml:space="preserve"> level at base load conditions.  Therefore, TWP proposes that the GE LM2500 gas turbine meets current BACT standards for this type of equipment.</w:t>
      </w:r>
    </w:p>
    <w:p>
      <w:pPr>
        <w:pStyle w:val="Normal"/>
        <w:spacing w:lineRule="auto" w:line="360"/>
        <w:rPr>
          <w:sz w:val="24"/>
        </w:rPr>
      </w:pPr>
      <w:r>
        <w:rPr>
          <w:sz w:val="24"/>
        </w:rPr>
      </w:r>
    </w:p>
    <w:p>
      <w:pPr>
        <w:pStyle w:val="Normal"/>
        <w:spacing w:lineRule="auto" w:line="360"/>
        <w:rPr>
          <w:sz w:val="24"/>
        </w:rPr>
      </w:pPr>
      <w:r>
        <w:rPr>
          <w:sz w:val="24"/>
        </w:rPr>
        <w:t xml:space="preserve">The diesel generator engine is necessary for backup power only.  TWP is requesting enforceable limitations on operating hours.  Therefore, further reductions in emissions would be economically unreasonable.  TWP also proposes that the new diesel generator engine satisfies BACT standards for this type of equipment.  </w:t>
      </w:r>
      <w:r>
        <w:br w:type="page"/>
      </w:r>
    </w:p>
    <w:p>
      <w:pPr>
        <w:pStyle w:val="Normal"/>
        <w:spacing w:lineRule="auto" w:line="360"/>
        <w:jc w:val="center"/>
        <w:rPr>
          <w:sz w:val="24"/>
        </w:rPr>
      </w:pPr>
      <w:r>
        <w:rPr>
          <w:sz w:val="24"/>
        </w:rPr>
        <w:t>3.0 AIR QUALITY REQUIREMENTS FOR SOURCES LOCATED IN ATTAINMENT AREAS (R18-2-304)</w:t>
      </w:r>
    </w:p>
    <w:p>
      <w:pPr>
        <w:pStyle w:val="Normal"/>
        <w:spacing w:lineRule="auto" w:line="360"/>
        <w:rPr>
          <w:sz w:val="24"/>
        </w:rPr>
      </w:pPr>
      <w:r>
        <w:rPr>
          <w:sz w:val="24"/>
        </w:rPr>
      </w:r>
    </w:p>
    <w:p>
      <w:pPr>
        <w:pStyle w:val="Normal"/>
        <w:spacing w:lineRule="auto" w:line="360"/>
        <w:rPr>
          <w:sz w:val="24"/>
        </w:rPr>
      </w:pPr>
      <w:r>
        <w:rPr>
          <w:sz w:val="24"/>
        </w:rPr>
        <w:t>Arizona State Regulation R18-20-401(9)(b) specifies that specified source categories are considered major sources if emissions equal or exceed 100 tpy.  Non-category sources are considered to be major if emissions equal or exceed 250 tpy.  Equipment at the Kingman Compressor Station is not a listed source category.  However, potential emissions do exceed 250 tpy.  Based on existing equipment, the Kingman Compressor Station is classified as a major source.  When the permit is issued and the reciprocating engines are permanently shutdown, potential emissions of any single regulated pollutant will not exceed 250 tpy.</w:t>
      </w:r>
    </w:p>
    <w:p>
      <w:pPr>
        <w:pStyle w:val="Normal"/>
        <w:spacing w:lineRule="auto" w:line="360"/>
        <w:rPr>
          <w:sz w:val="24"/>
        </w:rPr>
      </w:pPr>
      <w:r>
        <w:rPr>
          <w:sz w:val="24"/>
        </w:rPr>
      </w:r>
    </w:p>
    <w:p>
      <w:pPr>
        <w:pStyle w:val="Normal"/>
        <w:spacing w:lineRule="auto" w:line="360"/>
        <w:rPr>
          <w:sz w:val="24"/>
          <w:u w:val="single"/>
        </w:rPr>
      </w:pPr>
      <w:r>
        <w:rPr>
          <w:sz w:val="24"/>
          <w:u w:val="single"/>
        </w:rPr>
        <w:t>3.1 National and State Ambient Air Quality Standards</w:t>
      </w:r>
    </w:p>
    <w:p>
      <w:pPr>
        <w:pStyle w:val="Normal"/>
        <w:spacing w:lineRule="auto" w:line="360"/>
        <w:rPr>
          <w:sz w:val="24"/>
        </w:rPr>
      </w:pPr>
      <w:r>
        <w:rPr>
          <w:sz w:val="24"/>
        </w:rPr>
        <w:t>The existing national and state air quality standards are presented below:</w:t>
      </w:r>
    </w:p>
    <w:tbl>
      <w:tblPr>
        <w:tblW w:w="8856" w:type="dxa"/>
        <w:jc w:val="start"/>
        <w:tblInd w:w="0" w:type="dxa"/>
        <w:tblLayout w:type="fixed"/>
        <w:tblCellMar>
          <w:top w:w="0" w:type="dxa"/>
          <w:start w:w="108" w:type="dxa"/>
          <w:bottom w:w="0" w:type="dxa"/>
          <w:end w:w="108" w:type="dxa"/>
        </w:tblCellMar>
      </w:tblPr>
      <w:tblGrid>
        <w:gridCol w:w="1476"/>
        <w:gridCol w:w="1476"/>
        <w:gridCol w:w="1476"/>
        <w:gridCol w:w="1476"/>
        <w:gridCol w:w="1476"/>
        <w:gridCol w:w="1476"/>
      </w:tblGrid>
      <w:tr>
        <w:trPr/>
        <w:tc>
          <w:tcPr>
            <w:tcW w:w="1476" w:type="dxa"/>
            <w:tcBorders>
              <w:top w:val="single" w:sz="6" w:space="0" w:color="000000"/>
              <w:start w:val="single" w:sz="6" w:space="0" w:color="000000"/>
              <w:bottom w:val="single" w:sz="6" w:space="0" w:color="000000"/>
              <w:end w:val="single" w:sz="6" w:space="0" w:color="000000"/>
            </w:tcBorders>
          </w:tcPr>
          <w:p>
            <w:pPr>
              <w:pStyle w:val="Normal"/>
              <w:spacing w:lineRule="auto" w:line="360"/>
              <w:jc w:val="center"/>
              <w:rPr>
                <w:sz w:val="24"/>
              </w:rPr>
            </w:pPr>
            <w:r>
              <w:rPr>
                <w:sz w:val="24"/>
              </w:rPr>
              <w:t>Pollutant</w:t>
            </w:r>
          </w:p>
        </w:tc>
        <w:tc>
          <w:tcPr>
            <w:tcW w:w="1476" w:type="dxa"/>
            <w:tcBorders>
              <w:top w:val="single" w:sz="6" w:space="0" w:color="000000"/>
              <w:start w:val="single" w:sz="6" w:space="0" w:color="000000"/>
              <w:bottom w:val="single" w:sz="6" w:space="0" w:color="000000"/>
              <w:end w:val="single" w:sz="6" w:space="0" w:color="000000"/>
            </w:tcBorders>
          </w:tcPr>
          <w:p>
            <w:pPr>
              <w:pStyle w:val="Normal"/>
              <w:spacing w:lineRule="auto" w:line="360"/>
              <w:jc w:val="center"/>
              <w:rPr>
                <w:sz w:val="24"/>
              </w:rPr>
            </w:pPr>
            <w:r>
              <w:rPr>
                <w:sz w:val="24"/>
              </w:rPr>
              <w:t>Averaging Period</w:t>
            </w:r>
          </w:p>
        </w:tc>
        <w:tc>
          <w:tcPr>
            <w:tcW w:w="2952" w:type="dxa"/>
            <w:gridSpan w:val="2"/>
            <w:tcBorders>
              <w:top w:val="single" w:sz="6" w:space="0" w:color="000000"/>
              <w:start w:val="single" w:sz="6" w:space="0" w:color="000000"/>
              <w:bottom w:val="single" w:sz="6" w:space="0" w:color="000000"/>
              <w:end w:val="single" w:sz="6" w:space="0" w:color="000000"/>
            </w:tcBorders>
          </w:tcPr>
          <w:p>
            <w:pPr>
              <w:pStyle w:val="Normal"/>
              <w:spacing w:lineRule="auto" w:line="360"/>
              <w:jc w:val="center"/>
              <w:rPr>
                <w:sz w:val="24"/>
              </w:rPr>
            </w:pPr>
            <w:r>
              <w:rPr>
                <w:sz w:val="24"/>
              </w:rPr>
              <w:t>EPA Standards</w:t>
            </w:r>
          </w:p>
        </w:tc>
        <w:tc>
          <w:tcPr>
            <w:tcW w:w="2952" w:type="dxa"/>
            <w:gridSpan w:val="2"/>
            <w:tcBorders>
              <w:top w:val="single" w:sz="6" w:space="0" w:color="000000"/>
              <w:start w:val="single" w:sz="6" w:space="0" w:color="000000"/>
              <w:bottom w:val="single" w:sz="6" w:space="0" w:color="000000"/>
              <w:end w:val="single" w:sz="6" w:space="0" w:color="000000"/>
            </w:tcBorders>
          </w:tcPr>
          <w:p>
            <w:pPr>
              <w:pStyle w:val="Normal"/>
              <w:spacing w:lineRule="auto" w:line="360"/>
              <w:jc w:val="center"/>
              <w:rPr>
                <w:sz w:val="24"/>
              </w:rPr>
            </w:pPr>
            <w:r>
              <w:rPr>
                <w:sz w:val="24"/>
              </w:rPr>
              <w:t>Arizona Standards</w:t>
            </w:r>
          </w:p>
        </w:tc>
      </w:tr>
      <w:tr>
        <w:trPr/>
        <w:tc>
          <w:tcPr>
            <w:tcW w:w="1476"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60"/>
              <w:jc w:val="center"/>
              <w:rPr>
                <w:sz w:val="24"/>
              </w:rPr>
            </w:pPr>
            <w:r>
              <w:rPr>
                <w:sz w:val="24"/>
              </w:rPr>
            </w:r>
          </w:p>
        </w:tc>
        <w:tc>
          <w:tcPr>
            <w:tcW w:w="1476"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60"/>
              <w:jc w:val="center"/>
              <w:rPr>
                <w:sz w:val="24"/>
              </w:rPr>
            </w:pPr>
            <w:r>
              <w:rPr>
                <w:sz w:val="24"/>
              </w:rPr>
            </w:r>
          </w:p>
        </w:tc>
        <w:tc>
          <w:tcPr>
            <w:tcW w:w="1476" w:type="dxa"/>
            <w:tcBorders>
              <w:top w:val="single" w:sz="6" w:space="0" w:color="000000"/>
              <w:start w:val="single" w:sz="6" w:space="0" w:color="000000"/>
              <w:bottom w:val="single" w:sz="6" w:space="0" w:color="000000"/>
              <w:end w:val="single" w:sz="6" w:space="0" w:color="000000"/>
            </w:tcBorders>
          </w:tcPr>
          <w:p>
            <w:pPr>
              <w:pStyle w:val="Normal"/>
              <w:spacing w:lineRule="auto" w:line="360"/>
              <w:jc w:val="center"/>
              <w:rPr>
                <w:sz w:val="24"/>
              </w:rPr>
            </w:pPr>
            <w:r>
              <w:rPr>
                <w:sz w:val="24"/>
              </w:rPr>
              <w:t>Primary</w:t>
            </w:r>
          </w:p>
        </w:tc>
        <w:tc>
          <w:tcPr>
            <w:tcW w:w="1476" w:type="dxa"/>
            <w:tcBorders>
              <w:top w:val="single" w:sz="6" w:space="0" w:color="000000"/>
              <w:start w:val="single" w:sz="6" w:space="0" w:color="000000"/>
              <w:bottom w:val="single" w:sz="6" w:space="0" w:color="000000"/>
              <w:end w:val="single" w:sz="6" w:space="0" w:color="000000"/>
            </w:tcBorders>
          </w:tcPr>
          <w:p>
            <w:pPr>
              <w:pStyle w:val="Normal"/>
              <w:spacing w:lineRule="auto" w:line="360"/>
              <w:jc w:val="center"/>
              <w:rPr>
                <w:sz w:val="24"/>
              </w:rPr>
            </w:pPr>
            <w:r>
              <w:rPr>
                <w:sz w:val="24"/>
              </w:rPr>
              <w:t>Secondary</w:t>
            </w:r>
          </w:p>
        </w:tc>
        <w:tc>
          <w:tcPr>
            <w:tcW w:w="1476" w:type="dxa"/>
            <w:tcBorders>
              <w:top w:val="single" w:sz="6" w:space="0" w:color="000000"/>
              <w:start w:val="single" w:sz="6" w:space="0" w:color="000000"/>
              <w:bottom w:val="single" w:sz="6" w:space="0" w:color="000000"/>
              <w:end w:val="single" w:sz="6" w:space="0" w:color="000000"/>
            </w:tcBorders>
          </w:tcPr>
          <w:p>
            <w:pPr>
              <w:pStyle w:val="Normal"/>
              <w:spacing w:lineRule="auto" w:line="360"/>
              <w:jc w:val="center"/>
              <w:rPr>
                <w:sz w:val="24"/>
              </w:rPr>
            </w:pPr>
            <w:r>
              <w:rPr>
                <w:sz w:val="24"/>
              </w:rPr>
              <w:t>Primary</w:t>
            </w:r>
          </w:p>
        </w:tc>
        <w:tc>
          <w:tcPr>
            <w:tcW w:w="1476" w:type="dxa"/>
            <w:tcBorders>
              <w:top w:val="single" w:sz="6" w:space="0" w:color="000000"/>
              <w:start w:val="single" w:sz="6" w:space="0" w:color="000000"/>
              <w:bottom w:val="single" w:sz="6" w:space="0" w:color="000000"/>
              <w:end w:val="single" w:sz="6" w:space="0" w:color="000000"/>
            </w:tcBorders>
          </w:tcPr>
          <w:p>
            <w:pPr>
              <w:pStyle w:val="Normal"/>
              <w:spacing w:lineRule="auto" w:line="360"/>
              <w:jc w:val="center"/>
              <w:rPr>
                <w:sz w:val="24"/>
              </w:rPr>
            </w:pPr>
            <w:r>
              <w:rPr>
                <w:sz w:val="24"/>
              </w:rPr>
              <w:t>Secondary</w:t>
            </w:r>
          </w:p>
        </w:tc>
      </w:tr>
      <w:tr>
        <w:trPr/>
        <w:tc>
          <w:tcPr>
            <w:tcW w:w="1476" w:type="dxa"/>
            <w:tcBorders>
              <w:top w:val="single" w:sz="6" w:space="0" w:color="000000"/>
              <w:start w:val="single" w:sz="6" w:space="0" w:color="000000"/>
              <w:bottom w:val="single" w:sz="6" w:space="0" w:color="000000"/>
              <w:end w:val="single" w:sz="6" w:space="0" w:color="000000"/>
            </w:tcBorders>
          </w:tcPr>
          <w:p>
            <w:pPr>
              <w:pStyle w:val="Normal"/>
              <w:spacing w:lineRule="auto" w:line="360"/>
              <w:rPr>
                <w:sz w:val="24"/>
              </w:rPr>
            </w:pPr>
            <w:r>
              <w:rPr>
                <w:sz w:val="24"/>
              </w:rPr>
              <w:t>PM</w:t>
            </w:r>
            <w:r>
              <w:rPr>
                <w:sz w:val="24"/>
                <w:vertAlign w:val="subscript"/>
              </w:rPr>
              <w:t>10</w:t>
            </w:r>
          </w:p>
        </w:tc>
        <w:tc>
          <w:tcPr>
            <w:tcW w:w="1476" w:type="dxa"/>
            <w:tcBorders>
              <w:top w:val="single" w:sz="6" w:space="0" w:color="000000"/>
              <w:start w:val="single" w:sz="6" w:space="0" w:color="000000"/>
              <w:bottom w:val="single" w:sz="6" w:space="0" w:color="000000"/>
              <w:end w:val="single" w:sz="6" w:space="0" w:color="000000"/>
            </w:tcBorders>
          </w:tcPr>
          <w:p>
            <w:pPr>
              <w:pStyle w:val="Normal"/>
              <w:spacing w:lineRule="auto" w:line="360"/>
              <w:rPr>
                <w:sz w:val="24"/>
              </w:rPr>
            </w:pPr>
            <w:r>
              <w:rPr>
                <w:sz w:val="24"/>
              </w:rPr>
              <w:t>Annual</w:t>
            </w:r>
          </w:p>
        </w:tc>
        <w:tc>
          <w:tcPr>
            <w:tcW w:w="1476" w:type="dxa"/>
            <w:tcBorders>
              <w:top w:val="single" w:sz="6" w:space="0" w:color="000000"/>
              <w:start w:val="single" w:sz="6" w:space="0" w:color="000000"/>
              <w:bottom w:val="single" w:sz="6" w:space="0" w:color="000000"/>
              <w:end w:val="single" w:sz="6" w:space="0" w:color="000000"/>
            </w:tcBorders>
          </w:tcPr>
          <w:p>
            <w:pPr>
              <w:pStyle w:val="Normal"/>
              <w:spacing w:lineRule="auto" w:line="360"/>
              <w:rPr>
                <w:sz w:val="24"/>
              </w:rPr>
            </w:pPr>
            <w:r>
              <w:rPr>
                <w:sz w:val="24"/>
              </w:rPr>
              <w:t>50 ug/m</w:t>
            </w:r>
            <w:r>
              <w:rPr>
                <w:sz w:val="24"/>
                <w:vertAlign w:val="superscript"/>
              </w:rPr>
              <w:t>3</w:t>
            </w:r>
          </w:p>
        </w:tc>
        <w:tc>
          <w:tcPr>
            <w:tcW w:w="1476" w:type="dxa"/>
            <w:tcBorders>
              <w:top w:val="single" w:sz="6" w:space="0" w:color="000000"/>
              <w:start w:val="single" w:sz="6" w:space="0" w:color="000000"/>
              <w:bottom w:val="single" w:sz="6" w:space="0" w:color="000000"/>
              <w:end w:val="single" w:sz="6" w:space="0" w:color="000000"/>
            </w:tcBorders>
          </w:tcPr>
          <w:p>
            <w:pPr>
              <w:pStyle w:val="Normal"/>
              <w:spacing w:lineRule="auto" w:line="360"/>
              <w:rPr>
                <w:sz w:val="24"/>
              </w:rPr>
            </w:pPr>
            <w:r>
              <w:rPr>
                <w:sz w:val="24"/>
              </w:rPr>
              <w:t>50 ug/m</w:t>
            </w:r>
            <w:r>
              <w:rPr>
                <w:sz w:val="24"/>
                <w:vertAlign w:val="superscript"/>
              </w:rPr>
              <w:t>3</w:t>
            </w:r>
          </w:p>
        </w:tc>
        <w:tc>
          <w:tcPr>
            <w:tcW w:w="1476" w:type="dxa"/>
            <w:tcBorders>
              <w:top w:val="single" w:sz="6" w:space="0" w:color="000000"/>
              <w:start w:val="single" w:sz="6" w:space="0" w:color="000000"/>
              <w:bottom w:val="single" w:sz="6" w:space="0" w:color="000000"/>
              <w:end w:val="single" w:sz="6" w:space="0" w:color="000000"/>
            </w:tcBorders>
          </w:tcPr>
          <w:p>
            <w:pPr>
              <w:pStyle w:val="Normal"/>
              <w:spacing w:lineRule="auto" w:line="360"/>
              <w:rPr>
                <w:sz w:val="24"/>
              </w:rPr>
            </w:pPr>
            <w:r>
              <w:rPr>
                <w:sz w:val="24"/>
              </w:rPr>
              <w:t>50 ug/m</w:t>
            </w:r>
            <w:r>
              <w:rPr>
                <w:sz w:val="24"/>
                <w:vertAlign w:val="superscript"/>
              </w:rPr>
              <w:t>3</w:t>
            </w:r>
          </w:p>
        </w:tc>
        <w:tc>
          <w:tcPr>
            <w:tcW w:w="1476" w:type="dxa"/>
            <w:tcBorders>
              <w:top w:val="single" w:sz="6" w:space="0" w:color="000000"/>
              <w:start w:val="single" w:sz="6" w:space="0" w:color="000000"/>
              <w:bottom w:val="single" w:sz="6" w:space="0" w:color="000000"/>
              <w:end w:val="single" w:sz="6" w:space="0" w:color="000000"/>
            </w:tcBorders>
          </w:tcPr>
          <w:p>
            <w:pPr>
              <w:pStyle w:val="Normal"/>
              <w:spacing w:lineRule="auto" w:line="360"/>
              <w:rPr>
                <w:sz w:val="24"/>
              </w:rPr>
            </w:pPr>
            <w:r>
              <w:rPr>
                <w:sz w:val="24"/>
              </w:rPr>
              <w:t>50 ug/m</w:t>
            </w:r>
            <w:r>
              <w:rPr>
                <w:sz w:val="24"/>
                <w:vertAlign w:val="superscript"/>
              </w:rPr>
              <w:t>3</w:t>
            </w:r>
          </w:p>
        </w:tc>
      </w:tr>
      <w:tr>
        <w:trPr/>
        <w:tc>
          <w:tcPr>
            <w:tcW w:w="1476"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60"/>
              <w:rPr>
                <w:sz w:val="24"/>
              </w:rPr>
            </w:pPr>
            <w:r>
              <w:rPr>
                <w:sz w:val="24"/>
              </w:rPr>
            </w:r>
          </w:p>
        </w:tc>
        <w:tc>
          <w:tcPr>
            <w:tcW w:w="1476" w:type="dxa"/>
            <w:tcBorders>
              <w:top w:val="single" w:sz="6" w:space="0" w:color="000000"/>
              <w:start w:val="single" w:sz="6" w:space="0" w:color="000000"/>
              <w:bottom w:val="single" w:sz="6" w:space="0" w:color="000000"/>
              <w:end w:val="single" w:sz="6" w:space="0" w:color="000000"/>
            </w:tcBorders>
          </w:tcPr>
          <w:p>
            <w:pPr>
              <w:pStyle w:val="Normal"/>
              <w:spacing w:lineRule="auto" w:line="360"/>
              <w:rPr>
                <w:sz w:val="24"/>
              </w:rPr>
            </w:pPr>
            <w:r>
              <w:rPr>
                <w:sz w:val="24"/>
              </w:rPr>
              <w:t>24-hour</w:t>
            </w:r>
          </w:p>
        </w:tc>
        <w:tc>
          <w:tcPr>
            <w:tcW w:w="1476" w:type="dxa"/>
            <w:tcBorders>
              <w:top w:val="single" w:sz="6" w:space="0" w:color="000000"/>
              <w:start w:val="single" w:sz="6" w:space="0" w:color="000000"/>
              <w:bottom w:val="single" w:sz="6" w:space="0" w:color="000000"/>
              <w:end w:val="single" w:sz="6" w:space="0" w:color="000000"/>
            </w:tcBorders>
          </w:tcPr>
          <w:p>
            <w:pPr>
              <w:pStyle w:val="Normal"/>
              <w:spacing w:lineRule="auto" w:line="360"/>
              <w:rPr>
                <w:sz w:val="24"/>
              </w:rPr>
            </w:pPr>
            <w:r>
              <w:rPr>
                <w:sz w:val="24"/>
              </w:rPr>
              <w:t>150 ug/m</w:t>
            </w:r>
            <w:r>
              <w:rPr>
                <w:sz w:val="24"/>
                <w:vertAlign w:val="superscript"/>
              </w:rPr>
              <w:t>3</w:t>
            </w:r>
          </w:p>
        </w:tc>
        <w:tc>
          <w:tcPr>
            <w:tcW w:w="1476" w:type="dxa"/>
            <w:tcBorders>
              <w:top w:val="single" w:sz="6" w:space="0" w:color="000000"/>
              <w:start w:val="single" w:sz="6" w:space="0" w:color="000000"/>
              <w:bottom w:val="single" w:sz="6" w:space="0" w:color="000000"/>
              <w:end w:val="single" w:sz="6" w:space="0" w:color="000000"/>
            </w:tcBorders>
          </w:tcPr>
          <w:p>
            <w:pPr>
              <w:pStyle w:val="Normal"/>
              <w:spacing w:lineRule="auto" w:line="360"/>
              <w:rPr>
                <w:sz w:val="24"/>
              </w:rPr>
            </w:pPr>
            <w:r>
              <w:rPr>
                <w:sz w:val="24"/>
              </w:rPr>
              <w:t>150 ug/m</w:t>
            </w:r>
            <w:r>
              <w:rPr>
                <w:sz w:val="24"/>
                <w:vertAlign w:val="superscript"/>
              </w:rPr>
              <w:t>3</w:t>
            </w:r>
          </w:p>
        </w:tc>
        <w:tc>
          <w:tcPr>
            <w:tcW w:w="1476" w:type="dxa"/>
            <w:tcBorders>
              <w:top w:val="single" w:sz="6" w:space="0" w:color="000000"/>
              <w:start w:val="single" w:sz="6" w:space="0" w:color="000000"/>
              <w:bottom w:val="single" w:sz="6" w:space="0" w:color="000000"/>
              <w:end w:val="single" w:sz="6" w:space="0" w:color="000000"/>
            </w:tcBorders>
          </w:tcPr>
          <w:p>
            <w:pPr>
              <w:pStyle w:val="Normal"/>
              <w:spacing w:lineRule="auto" w:line="360"/>
              <w:rPr>
                <w:sz w:val="24"/>
              </w:rPr>
            </w:pPr>
            <w:r>
              <w:rPr>
                <w:sz w:val="24"/>
              </w:rPr>
              <w:t>150 ug/m</w:t>
            </w:r>
            <w:r>
              <w:rPr>
                <w:sz w:val="24"/>
                <w:vertAlign w:val="superscript"/>
              </w:rPr>
              <w:t>3</w:t>
            </w:r>
          </w:p>
        </w:tc>
        <w:tc>
          <w:tcPr>
            <w:tcW w:w="1476" w:type="dxa"/>
            <w:tcBorders>
              <w:top w:val="single" w:sz="6" w:space="0" w:color="000000"/>
              <w:start w:val="single" w:sz="6" w:space="0" w:color="000000"/>
              <w:bottom w:val="single" w:sz="6" w:space="0" w:color="000000"/>
              <w:end w:val="single" w:sz="6" w:space="0" w:color="000000"/>
            </w:tcBorders>
          </w:tcPr>
          <w:p>
            <w:pPr>
              <w:pStyle w:val="Normal"/>
              <w:spacing w:lineRule="auto" w:line="360"/>
              <w:rPr>
                <w:sz w:val="24"/>
              </w:rPr>
            </w:pPr>
            <w:r>
              <w:rPr>
                <w:sz w:val="24"/>
              </w:rPr>
              <w:t>150 ug/m</w:t>
            </w:r>
            <w:r>
              <w:rPr>
                <w:sz w:val="24"/>
                <w:vertAlign w:val="superscript"/>
              </w:rPr>
              <w:t>3</w:t>
            </w:r>
          </w:p>
        </w:tc>
      </w:tr>
      <w:tr>
        <w:trPr/>
        <w:tc>
          <w:tcPr>
            <w:tcW w:w="1476" w:type="dxa"/>
            <w:tcBorders>
              <w:top w:val="single" w:sz="6" w:space="0" w:color="000000"/>
              <w:start w:val="single" w:sz="6" w:space="0" w:color="000000"/>
              <w:bottom w:val="single" w:sz="6" w:space="0" w:color="000000"/>
              <w:end w:val="single" w:sz="6" w:space="0" w:color="000000"/>
            </w:tcBorders>
          </w:tcPr>
          <w:p>
            <w:pPr>
              <w:pStyle w:val="Normal"/>
              <w:spacing w:lineRule="auto" w:line="360"/>
              <w:rPr>
                <w:sz w:val="24"/>
              </w:rPr>
            </w:pPr>
            <w:r>
              <w:rPr>
                <w:sz w:val="24"/>
              </w:rPr>
              <w:t>SO</w:t>
            </w:r>
            <w:r>
              <w:rPr>
                <w:sz w:val="24"/>
                <w:vertAlign w:val="subscript"/>
              </w:rPr>
              <w:t>2</w:t>
            </w:r>
          </w:p>
        </w:tc>
        <w:tc>
          <w:tcPr>
            <w:tcW w:w="1476" w:type="dxa"/>
            <w:tcBorders>
              <w:top w:val="single" w:sz="6" w:space="0" w:color="000000"/>
              <w:start w:val="single" w:sz="6" w:space="0" w:color="000000"/>
              <w:bottom w:val="single" w:sz="6" w:space="0" w:color="000000"/>
              <w:end w:val="single" w:sz="6" w:space="0" w:color="000000"/>
            </w:tcBorders>
          </w:tcPr>
          <w:p>
            <w:pPr>
              <w:pStyle w:val="Normal"/>
              <w:spacing w:lineRule="auto" w:line="360"/>
              <w:rPr>
                <w:sz w:val="24"/>
              </w:rPr>
            </w:pPr>
            <w:r>
              <w:rPr>
                <w:sz w:val="24"/>
              </w:rPr>
              <w:t>Annual</w:t>
            </w:r>
          </w:p>
        </w:tc>
        <w:tc>
          <w:tcPr>
            <w:tcW w:w="1476" w:type="dxa"/>
            <w:tcBorders>
              <w:top w:val="single" w:sz="6" w:space="0" w:color="000000"/>
              <w:start w:val="single" w:sz="6" w:space="0" w:color="000000"/>
              <w:bottom w:val="single" w:sz="6" w:space="0" w:color="000000"/>
              <w:end w:val="single" w:sz="6" w:space="0" w:color="000000"/>
            </w:tcBorders>
          </w:tcPr>
          <w:p>
            <w:pPr>
              <w:pStyle w:val="Normal"/>
              <w:spacing w:lineRule="auto" w:line="360"/>
              <w:rPr>
                <w:sz w:val="24"/>
              </w:rPr>
            </w:pPr>
            <w:r>
              <w:rPr>
                <w:sz w:val="24"/>
              </w:rPr>
              <w:t>80 ug/m</w:t>
            </w:r>
            <w:r>
              <w:rPr>
                <w:sz w:val="24"/>
                <w:vertAlign w:val="superscript"/>
              </w:rPr>
              <w:t>3</w:t>
            </w:r>
          </w:p>
        </w:tc>
        <w:tc>
          <w:tcPr>
            <w:tcW w:w="1476" w:type="dxa"/>
            <w:tcBorders>
              <w:top w:val="single" w:sz="6" w:space="0" w:color="000000"/>
              <w:start w:val="single" w:sz="6" w:space="0" w:color="000000"/>
              <w:bottom w:val="single" w:sz="6" w:space="0" w:color="000000"/>
              <w:end w:val="single" w:sz="6" w:space="0" w:color="000000"/>
            </w:tcBorders>
          </w:tcPr>
          <w:p>
            <w:pPr>
              <w:pStyle w:val="Normal"/>
              <w:spacing w:lineRule="auto" w:line="360"/>
              <w:jc w:val="center"/>
              <w:rPr>
                <w:sz w:val="24"/>
              </w:rPr>
            </w:pPr>
            <w:r>
              <w:rPr>
                <w:sz w:val="24"/>
              </w:rPr>
              <w:t>-</w:t>
            </w:r>
          </w:p>
        </w:tc>
        <w:tc>
          <w:tcPr>
            <w:tcW w:w="1476" w:type="dxa"/>
            <w:tcBorders>
              <w:top w:val="single" w:sz="6" w:space="0" w:color="000000"/>
              <w:start w:val="single" w:sz="6" w:space="0" w:color="000000"/>
              <w:bottom w:val="single" w:sz="6" w:space="0" w:color="000000"/>
              <w:end w:val="single" w:sz="6" w:space="0" w:color="000000"/>
            </w:tcBorders>
          </w:tcPr>
          <w:p>
            <w:pPr>
              <w:pStyle w:val="Normal"/>
              <w:spacing w:lineRule="auto" w:line="360"/>
              <w:rPr>
                <w:sz w:val="24"/>
              </w:rPr>
            </w:pPr>
            <w:r>
              <w:rPr>
                <w:sz w:val="24"/>
              </w:rPr>
              <w:t>80 ug/m</w:t>
            </w:r>
            <w:r>
              <w:rPr>
                <w:sz w:val="24"/>
                <w:vertAlign w:val="superscript"/>
              </w:rPr>
              <w:t>3</w:t>
            </w:r>
          </w:p>
        </w:tc>
        <w:tc>
          <w:tcPr>
            <w:tcW w:w="1476" w:type="dxa"/>
            <w:tcBorders>
              <w:top w:val="single" w:sz="6" w:space="0" w:color="000000"/>
              <w:start w:val="single" w:sz="6" w:space="0" w:color="000000"/>
              <w:bottom w:val="single" w:sz="6" w:space="0" w:color="000000"/>
              <w:end w:val="single" w:sz="6" w:space="0" w:color="000000"/>
            </w:tcBorders>
          </w:tcPr>
          <w:p>
            <w:pPr>
              <w:pStyle w:val="Normal"/>
              <w:spacing w:lineRule="auto" w:line="360"/>
              <w:jc w:val="center"/>
              <w:rPr>
                <w:sz w:val="24"/>
              </w:rPr>
            </w:pPr>
            <w:r>
              <w:rPr>
                <w:sz w:val="24"/>
              </w:rPr>
              <w:t>-</w:t>
            </w:r>
          </w:p>
        </w:tc>
      </w:tr>
      <w:tr>
        <w:trPr/>
        <w:tc>
          <w:tcPr>
            <w:tcW w:w="1476"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60"/>
              <w:rPr>
                <w:sz w:val="24"/>
              </w:rPr>
            </w:pPr>
            <w:r>
              <w:rPr>
                <w:sz w:val="24"/>
              </w:rPr>
            </w:r>
          </w:p>
        </w:tc>
        <w:tc>
          <w:tcPr>
            <w:tcW w:w="1476" w:type="dxa"/>
            <w:tcBorders>
              <w:top w:val="single" w:sz="6" w:space="0" w:color="000000"/>
              <w:start w:val="single" w:sz="6" w:space="0" w:color="000000"/>
              <w:bottom w:val="single" w:sz="6" w:space="0" w:color="000000"/>
              <w:end w:val="single" w:sz="6" w:space="0" w:color="000000"/>
            </w:tcBorders>
          </w:tcPr>
          <w:p>
            <w:pPr>
              <w:pStyle w:val="Normal"/>
              <w:spacing w:lineRule="auto" w:line="360"/>
              <w:rPr>
                <w:sz w:val="24"/>
              </w:rPr>
            </w:pPr>
            <w:r>
              <w:rPr>
                <w:sz w:val="24"/>
              </w:rPr>
              <w:t>24-hour</w:t>
            </w:r>
          </w:p>
        </w:tc>
        <w:tc>
          <w:tcPr>
            <w:tcW w:w="1476" w:type="dxa"/>
            <w:tcBorders>
              <w:top w:val="single" w:sz="6" w:space="0" w:color="000000"/>
              <w:start w:val="single" w:sz="6" w:space="0" w:color="000000"/>
              <w:bottom w:val="single" w:sz="6" w:space="0" w:color="000000"/>
              <w:end w:val="single" w:sz="6" w:space="0" w:color="000000"/>
            </w:tcBorders>
          </w:tcPr>
          <w:p>
            <w:pPr>
              <w:pStyle w:val="Normal"/>
              <w:spacing w:lineRule="auto" w:line="360"/>
              <w:rPr>
                <w:sz w:val="24"/>
              </w:rPr>
            </w:pPr>
            <w:r>
              <w:rPr>
                <w:sz w:val="24"/>
              </w:rPr>
              <w:t>365 ug/m</w:t>
            </w:r>
            <w:r>
              <w:rPr>
                <w:sz w:val="24"/>
                <w:vertAlign w:val="superscript"/>
              </w:rPr>
              <w:t>3</w:t>
            </w:r>
          </w:p>
        </w:tc>
        <w:tc>
          <w:tcPr>
            <w:tcW w:w="1476" w:type="dxa"/>
            <w:tcBorders>
              <w:top w:val="single" w:sz="6" w:space="0" w:color="000000"/>
              <w:start w:val="single" w:sz="6" w:space="0" w:color="000000"/>
              <w:bottom w:val="single" w:sz="6" w:space="0" w:color="000000"/>
              <w:end w:val="single" w:sz="6" w:space="0" w:color="000000"/>
            </w:tcBorders>
          </w:tcPr>
          <w:p>
            <w:pPr>
              <w:pStyle w:val="Normal"/>
              <w:spacing w:lineRule="auto" w:line="360"/>
              <w:jc w:val="center"/>
              <w:rPr>
                <w:sz w:val="24"/>
              </w:rPr>
            </w:pPr>
            <w:r>
              <w:rPr>
                <w:sz w:val="24"/>
              </w:rPr>
              <w:t>-</w:t>
            </w:r>
          </w:p>
        </w:tc>
        <w:tc>
          <w:tcPr>
            <w:tcW w:w="1476" w:type="dxa"/>
            <w:tcBorders>
              <w:top w:val="single" w:sz="6" w:space="0" w:color="000000"/>
              <w:start w:val="single" w:sz="6" w:space="0" w:color="000000"/>
              <w:bottom w:val="single" w:sz="6" w:space="0" w:color="000000"/>
              <w:end w:val="single" w:sz="6" w:space="0" w:color="000000"/>
            </w:tcBorders>
          </w:tcPr>
          <w:p>
            <w:pPr>
              <w:pStyle w:val="Normal"/>
              <w:spacing w:lineRule="auto" w:line="360"/>
              <w:rPr>
                <w:sz w:val="24"/>
              </w:rPr>
            </w:pPr>
            <w:r>
              <w:rPr>
                <w:sz w:val="24"/>
              </w:rPr>
              <w:t>365 ug/m</w:t>
            </w:r>
            <w:r>
              <w:rPr>
                <w:sz w:val="24"/>
                <w:vertAlign w:val="superscript"/>
              </w:rPr>
              <w:t>3</w:t>
            </w:r>
          </w:p>
        </w:tc>
        <w:tc>
          <w:tcPr>
            <w:tcW w:w="1476" w:type="dxa"/>
            <w:tcBorders>
              <w:top w:val="single" w:sz="6" w:space="0" w:color="000000"/>
              <w:start w:val="single" w:sz="6" w:space="0" w:color="000000"/>
              <w:bottom w:val="single" w:sz="6" w:space="0" w:color="000000"/>
              <w:end w:val="single" w:sz="6" w:space="0" w:color="000000"/>
            </w:tcBorders>
          </w:tcPr>
          <w:p>
            <w:pPr>
              <w:pStyle w:val="Normal"/>
              <w:spacing w:lineRule="auto" w:line="360"/>
              <w:jc w:val="center"/>
              <w:rPr>
                <w:sz w:val="24"/>
              </w:rPr>
            </w:pPr>
            <w:r>
              <w:rPr>
                <w:sz w:val="24"/>
              </w:rPr>
              <w:t>-</w:t>
            </w:r>
          </w:p>
        </w:tc>
      </w:tr>
      <w:tr>
        <w:trPr/>
        <w:tc>
          <w:tcPr>
            <w:tcW w:w="1476"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60"/>
              <w:rPr>
                <w:sz w:val="24"/>
              </w:rPr>
            </w:pPr>
            <w:r>
              <w:rPr>
                <w:sz w:val="24"/>
              </w:rPr>
            </w:r>
          </w:p>
        </w:tc>
        <w:tc>
          <w:tcPr>
            <w:tcW w:w="1476" w:type="dxa"/>
            <w:tcBorders>
              <w:top w:val="single" w:sz="6" w:space="0" w:color="000000"/>
              <w:start w:val="single" w:sz="6" w:space="0" w:color="000000"/>
              <w:bottom w:val="single" w:sz="6" w:space="0" w:color="000000"/>
              <w:end w:val="single" w:sz="6" w:space="0" w:color="000000"/>
            </w:tcBorders>
          </w:tcPr>
          <w:p>
            <w:pPr>
              <w:pStyle w:val="Normal"/>
              <w:spacing w:lineRule="auto" w:line="360"/>
              <w:rPr>
                <w:sz w:val="24"/>
              </w:rPr>
            </w:pPr>
            <w:r>
              <w:rPr>
                <w:sz w:val="24"/>
              </w:rPr>
              <w:t>3-hour</w:t>
            </w:r>
          </w:p>
        </w:tc>
        <w:tc>
          <w:tcPr>
            <w:tcW w:w="1476" w:type="dxa"/>
            <w:tcBorders>
              <w:top w:val="single" w:sz="6" w:space="0" w:color="000000"/>
              <w:start w:val="single" w:sz="6" w:space="0" w:color="000000"/>
              <w:bottom w:val="single" w:sz="6" w:space="0" w:color="000000"/>
              <w:end w:val="single" w:sz="6" w:space="0" w:color="000000"/>
            </w:tcBorders>
          </w:tcPr>
          <w:p>
            <w:pPr>
              <w:pStyle w:val="Normal"/>
              <w:spacing w:lineRule="auto" w:line="360"/>
              <w:jc w:val="center"/>
              <w:rPr>
                <w:sz w:val="24"/>
              </w:rPr>
            </w:pPr>
            <w:r>
              <w:rPr>
                <w:sz w:val="24"/>
              </w:rPr>
              <w:t>-</w:t>
            </w:r>
          </w:p>
        </w:tc>
        <w:tc>
          <w:tcPr>
            <w:tcW w:w="1476" w:type="dxa"/>
            <w:tcBorders>
              <w:top w:val="single" w:sz="6" w:space="0" w:color="000000"/>
              <w:start w:val="single" w:sz="6" w:space="0" w:color="000000"/>
              <w:bottom w:val="single" w:sz="6" w:space="0" w:color="000000"/>
              <w:end w:val="single" w:sz="6" w:space="0" w:color="000000"/>
            </w:tcBorders>
          </w:tcPr>
          <w:p>
            <w:pPr>
              <w:pStyle w:val="Normal"/>
              <w:spacing w:lineRule="auto" w:line="360"/>
              <w:rPr>
                <w:sz w:val="24"/>
              </w:rPr>
            </w:pPr>
            <w:r>
              <w:rPr>
                <w:sz w:val="24"/>
              </w:rPr>
              <w:t>1300 ug/m</w:t>
            </w:r>
            <w:r>
              <w:rPr>
                <w:sz w:val="24"/>
                <w:vertAlign w:val="superscript"/>
              </w:rPr>
              <w:t>3</w:t>
            </w:r>
          </w:p>
        </w:tc>
        <w:tc>
          <w:tcPr>
            <w:tcW w:w="1476" w:type="dxa"/>
            <w:tcBorders>
              <w:top w:val="single" w:sz="6" w:space="0" w:color="000000"/>
              <w:start w:val="single" w:sz="6" w:space="0" w:color="000000"/>
              <w:bottom w:val="single" w:sz="6" w:space="0" w:color="000000"/>
              <w:end w:val="single" w:sz="6" w:space="0" w:color="000000"/>
            </w:tcBorders>
          </w:tcPr>
          <w:p>
            <w:pPr>
              <w:pStyle w:val="Normal"/>
              <w:spacing w:lineRule="auto" w:line="360"/>
              <w:jc w:val="center"/>
              <w:rPr>
                <w:sz w:val="24"/>
              </w:rPr>
            </w:pPr>
            <w:r>
              <w:rPr>
                <w:sz w:val="24"/>
              </w:rPr>
              <w:t>-</w:t>
            </w:r>
          </w:p>
        </w:tc>
        <w:tc>
          <w:tcPr>
            <w:tcW w:w="1476" w:type="dxa"/>
            <w:tcBorders>
              <w:top w:val="single" w:sz="6" w:space="0" w:color="000000"/>
              <w:start w:val="single" w:sz="6" w:space="0" w:color="000000"/>
              <w:bottom w:val="single" w:sz="6" w:space="0" w:color="000000"/>
              <w:end w:val="single" w:sz="6" w:space="0" w:color="000000"/>
            </w:tcBorders>
          </w:tcPr>
          <w:p>
            <w:pPr>
              <w:pStyle w:val="Normal"/>
              <w:spacing w:lineRule="auto" w:line="360"/>
              <w:rPr>
                <w:sz w:val="24"/>
              </w:rPr>
            </w:pPr>
            <w:r>
              <w:rPr>
                <w:sz w:val="24"/>
              </w:rPr>
              <w:t>1300 ug/m</w:t>
            </w:r>
            <w:r>
              <w:rPr>
                <w:sz w:val="24"/>
                <w:vertAlign w:val="superscript"/>
              </w:rPr>
              <w:t>3</w:t>
            </w:r>
          </w:p>
        </w:tc>
      </w:tr>
      <w:tr>
        <w:trPr/>
        <w:tc>
          <w:tcPr>
            <w:tcW w:w="1476" w:type="dxa"/>
            <w:tcBorders>
              <w:top w:val="single" w:sz="6" w:space="0" w:color="000000"/>
              <w:start w:val="single" w:sz="6" w:space="0" w:color="000000"/>
              <w:bottom w:val="single" w:sz="6" w:space="0" w:color="000000"/>
              <w:end w:val="single" w:sz="6" w:space="0" w:color="000000"/>
            </w:tcBorders>
          </w:tcPr>
          <w:p>
            <w:pPr>
              <w:pStyle w:val="Normal"/>
              <w:spacing w:lineRule="auto" w:line="360"/>
              <w:rPr>
                <w:sz w:val="24"/>
              </w:rPr>
            </w:pPr>
            <w:r>
              <w:rPr>
                <w:sz w:val="24"/>
              </w:rPr>
              <w:t>CO</w:t>
            </w:r>
          </w:p>
        </w:tc>
        <w:tc>
          <w:tcPr>
            <w:tcW w:w="1476" w:type="dxa"/>
            <w:tcBorders>
              <w:top w:val="single" w:sz="6" w:space="0" w:color="000000"/>
              <w:start w:val="single" w:sz="6" w:space="0" w:color="000000"/>
              <w:bottom w:val="single" w:sz="6" w:space="0" w:color="000000"/>
              <w:end w:val="single" w:sz="6" w:space="0" w:color="000000"/>
            </w:tcBorders>
          </w:tcPr>
          <w:p>
            <w:pPr>
              <w:pStyle w:val="Normal"/>
              <w:spacing w:lineRule="auto" w:line="360"/>
              <w:rPr>
                <w:sz w:val="24"/>
              </w:rPr>
            </w:pPr>
            <w:r>
              <w:rPr>
                <w:sz w:val="24"/>
              </w:rPr>
              <w:t>8-hour</w:t>
            </w:r>
          </w:p>
        </w:tc>
        <w:tc>
          <w:tcPr>
            <w:tcW w:w="1476" w:type="dxa"/>
            <w:tcBorders>
              <w:top w:val="single" w:sz="6" w:space="0" w:color="000000"/>
              <w:start w:val="single" w:sz="6" w:space="0" w:color="000000"/>
              <w:bottom w:val="single" w:sz="6" w:space="0" w:color="000000"/>
              <w:end w:val="single" w:sz="6" w:space="0" w:color="000000"/>
            </w:tcBorders>
          </w:tcPr>
          <w:p>
            <w:pPr>
              <w:pStyle w:val="Normal"/>
              <w:spacing w:lineRule="auto" w:line="360"/>
              <w:rPr>
                <w:sz w:val="24"/>
              </w:rPr>
            </w:pPr>
            <w:r>
              <w:rPr>
                <w:sz w:val="24"/>
              </w:rPr>
              <w:t>10 ug/m</w:t>
            </w:r>
            <w:r>
              <w:rPr>
                <w:sz w:val="24"/>
                <w:vertAlign w:val="superscript"/>
              </w:rPr>
              <w:t>3</w:t>
            </w:r>
          </w:p>
        </w:tc>
        <w:tc>
          <w:tcPr>
            <w:tcW w:w="1476" w:type="dxa"/>
            <w:tcBorders>
              <w:top w:val="single" w:sz="6" w:space="0" w:color="000000"/>
              <w:start w:val="single" w:sz="6" w:space="0" w:color="000000"/>
              <w:bottom w:val="single" w:sz="6" w:space="0" w:color="000000"/>
              <w:end w:val="single" w:sz="6" w:space="0" w:color="000000"/>
            </w:tcBorders>
          </w:tcPr>
          <w:p>
            <w:pPr>
              <w:pStyle w:val="Normal"/>
              <w:spacing w:lineRule="auto" w:line="360"/>
              <w:jc w:val="center"/>
              <w:rPr>
                <w:sz w:val="24"/>
              </w:rPr>
            </w:pPr>
            <w:r>
              <w:rPr>
                <w:sz w:val="24"/>
              </w:rPr>
              <w:t>-</w:t>
            </w:r>
          </w:p>
        </w:tc>
        <w:tc>
          <w:tcPr>
            <w:tcW w:w="1476" w:type="dxa"/>
            <w:tcBorders>
              <w:top w:val="single" w:sz="6" w:space="0" w:color="000000"/>
              <w:start w:val="single" w:sz="6" w:space="0" w:color="000000"/>
              <w:bottom w:val="single" w:sz="6" w:space="0" w:color="000000"/>
              <w:end w:val="single" w:sz="6" w:space="0" w:color="000000"/>
            </w:tcBorders>
          </w:tcPr>
          <w:p>
            <w:pPr>
              <w:pStyle w:val="Normal"/>
              <w:spacing w:lineRule="auto" w:line="360"/>
              <w:rPr>
                <w:sz w:val="24"/>
              </w:rPr>
            </w:pPr>
            <w:r>
              <w:rPr>
                <w:sz w:val="24"/>
              </w:rPr>
              <w:t>10 ug/m</w:t>
            </w:r>
            <w:r>
              <w:rPr>
                <w:sz w:val="24"/>
                <w:vertAlign w:val="superscript"/>
              </w:rPr>
              <w:t>3</w:t>
            </w:r>
          </w:p>
        </w:tc>
        <w:tc>
          <w:tcPr>
            <w:tcW w:w="1476" w:type="dxa"/>
            <w:tcBorders>
              <w:top w:val="single" w:sz="6" w:space="0" w:color="000000"/>
              <w:start w:val="single" w:sz="6" w:space="0" w:color="000000"/>
              <w:bottom w:val="single" w:sz="6" w:space="0" w:color="000000"/>
              <w:end w:val="single" w:sz="6" w:space="0" w:color="000000"/>
            </w:tcBorders>
          </w:tcPr>
          <w:p>
            <w:pPr>
              <w:pStyle w:val="Normal"/>
              <w:spacing w:lineRule="auto" w:line="360"/>
              <w:jc w:val="center"/>
              <w:rPr>
                <w:sz w:val="24"/>
              </w:rPr>
            </w:pPr>
            <w:r>
              <w:rPr>
                <w:sz w:val="24"/>
              </w:rPr>
              <w:t>-</w:t>
            </w:r>
          </w:p>
        </w:tc>
      </w:tr>
      <w:tr>
        <w:trPr/>
        <w:tc>
          <w:tcPr>
            <w:tcW w:w="1476"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60"/>
              <w:rPr>
                <w:sz w:val="24"/>
              </w:rPr>
            </w:pPr>
            <w:r>
              <w:rPr>
                <w:sz w:val="24"/>
              </w:rPr>
            </w:r>
          </w:p>
        </w:tc>
        <w:tc>
          <w:tcPr>
            <w:tcW w:w="1476" w:type="dxa"/>
            <w:tcBorders>
              <w:top w:val="single" w:sz="6" w:space="0" w:color="000000"/>
              <w:start w:val="single" w:sz="6" w:space="0" w:color="000000"/>
              <w:bottom w:val="single" w:sz="6" w:space="0" w:color="000000"/>
              <w:end w:val="single" w:sz="6" w:space="0" w:color="000000"/>
            </w:tcBorders>
          </w:tcPr>
          <w:p>
            <w:pPr>
              <w:pStyle w:val="Normal"/>
              <w:spacing w:lineRule="auto" w:line="360"/>
              <w:rPr>
                <w:sz w:val="24"/>
              </w:rPr>
            </w:pPr>
            <w:r>
              <w:rPr>
                <w:sz w:val="24"/>
              </w:rPr>
              <w:t>1-hour</w:t>
            </w:r>
          </w:p>
        </w:tc>
        <w:tc>
          <w:tcPr>
            <w:tcW w:w="1476" w:type="dxa"/>
            <w:tcBorders>
              <w:top w:val="single" w:sz="6" w:space="0" w:color="000000"/>
              <w:start w:val="single" w:sz="6" w:space="0" w:color="000000"/>
              <w:bottom w:val="single" w:sz="6" w:space="0" w:color="000000"/>
              <w:end w:val="single" w:sz="6" w:space="0" w:color="000000"/>
            </w:tcBorders>
          </w:tcPr>
          <w:p>
            <w:pPr>
              <w:pStyle w:val="Normal"/>
              <w:spacing w:lineRule="auto" w:line="360"/>
              <w:rPr>
                <w:sz w:val="24"/>
              </w:rPr>
            </w:pPr>
            <w:r>
              <w:rPr>
                <w:sz w:val="24"/>
              </w:rPr>
              <w:t>40 ug/m</w:t>
            </w:r>
            <w:r>
              <w:rPr>
                <w:sz w:val="24"/>
                <w:vertAlign w:val="superscript"/>
              </w:rPr>
              <w:t>3</w:t>
            </w:r>
          </w:p>
        </w:tc>
        <w:tc>
          <w:tcPr>
            <w:tcW w:w="1476" w:type="dxa"/>
            <w:tcBorders>
              <w:top w:val="single" w:sz="6" w:space="0" w:color="000000"/>
              <w:start w:val="single" w:sz="6" w:space="0" w:color="000000"/>
              <w:bottom w:val="single" w:sz="6" w:space="0" w:color="000000"/>
              <w:end w:val="single" w:sz="6" w:space="0" w:color="000000"/>
            </w:tcBorders>
          </w:tcPr>
          <w:p>
            <w:pPr>
              <w:pStyle w:val="Normal"/>
              <w:spacing w:lineRule="auto" w:line="360"/>
              <w:jc w:val="center"/>
              <w:rPr>
                <w:sz w:val="24"/>
              </w:rPr>
            </w:pPr>
            <w:r>
              <w:rPr>
                <w:sz w:val="24"/>
              </w:rPr>
              <w:t>-</w:t>
            </w:r>
          </w:p>
        </w:tc>
        <w:tc>
          <w:tcPr>
            <w:tcW w:w="1476" w:type="dxa"/>
            <w:tcBorders>
              <w:top w:val="single" w:sz="6" w:space="0" w:color="000000"/>
              <w:start w:val="single" w:sz="6" w:space="0" w:color="000000"/>
              <w:bottom w:val="single" w:sz="6" w:space="0" w:color="000000"/>
              <w:end w:val="single" w:sz="6" w:space="0" w:color="000000"/>
            </w:tcBorders>
          </w:tcPr>
          <w:p>
            <w:pPr>
              <w:pStyle w:val="Normal"/>
              <w:spacing w:lineRule="auto" w:line="360"/>
              <w:rPr>
                <w:sz w:val="24"/>
              </w:rPr>
            </w:pPr>
            <w:r>
              <w:rPr>
                <w:sz w:val="24"/>
              </w:rPr>
              <w:t>40 ug/m</w:t>
            </w:r>
            <w:r>
              <w:rPr>
                <w:sz w:val="24"/>
                <w:vertAlign w:val="superscript"/>
              </w:rPr>
              <w:t>3</w:t>
            </w:r>
          </w:p>
        </w:tc>
        <w:tc>
          <w:tcPr>
            <w:tcW w:w="1476" w:type="dxa"/>
            <w:tcBorders>
              <w:top w:val="single" w:sz="6" w:space="0" w:color="000000"/>
              <w:start w:val="single" w:sz="6" w:space="0" w:color="000000"/>
              <w:bottom w:val="single" w:sz="6" w:space="0" w:color="000000"/>
              <w:end w:val="single" w:sz="6" w:space="0" w:color="000000"/>
            </w:tcBorders>
          </w:tcPr>
          <w:p>
            <w:pPr>
              <w:pStyle w:val="Normal"/>
              <w:spacing w:lineRule="auto" w:line="360"/>
              <w:jc w:val="center"/>
              <w:rPr>
                <w:sz w:val="24"/>
              </w:rPr>
            </w:pPr>
            <w:r>
              <w:rPr>
                <w:sz w:val="24"/>
              </w:rPr>
              <w:t>-</w:t>
            </w:r>
          </w:p>
        </w:tc>
      </w:tr>
      <w:tr>
        <w:trPr/>
        <w:tc>
          <w:tcPr>
            <w:tcW w:w="1476" w:type="dxa"/>
            <w:tcBorders>
              <w:top w:val="single" w:sz="6" w:space="0" w:color="000000"/>
              <w:start w:val="single" w:sz="6" w:space="0" w:color="000000"/>
              <w:bottom w:val="single" w:sz="6" w:space="0" w:color="000000"/>
              <w:end w:val="single" w:sz="6" w:space="0" w:color="000000"/>
            </w:tcBorders>
          </w:tcPr>
          <w:p>
            <w:pPr>
              <w:pStyle w:val="Normal"/>
              <w:spacing w:lineRule="auto" w:line="360"/>
              <w:rPr>
                <w:sz w:val="24"/>
              </w:rPr>
            </w:pPr>
            <w:r>
              <w:rPr>
                <w:sz w:val="24"/>
              </w:rPr>
              <w:t>NO</w:t>
            </w:r>
            <w:r>
              <w:rPr>
                <w:sz w:val="24"/>
                <w:vertAlign w:val="subscript"/>
              </w:rPr>
              <w:t>2</w:t>
            </w:r>
          </w:p>
        </w:tc>
        <w:tc>
          <w:tcPr>
            <w:tcW w:w="1476" w:type="dxa"/>
            <w:tcBorders>
              <w:top w:val="single" w:sz="6" w:space="0" w:color="000000"/>
              <w:start w:val="single" w:sz="6" w:space="0" w:color="000000"/>
              <w:bottom w:val="single" w:sz="6" w:space="0" w:color="000000"/>
              <w:end w:val="single" w:sz="6" w:space="0" w:color="000000"/>
            </w:tcBorders>
          </w:tcPr>
          <w:p>
            <w:pPr>
              <w:pStyle w:val="Normal"/>
              <w:spacing w:lineRule="auto" w:line="360"/>
              <w:rPr>
                <w:sz w:val="24"/>
              </w:rPr>
            </w:pPr>
            <w:r>
              <w:rPr>
                <w:sz w:val="24"/>
              </w:rPr>
              <w:t>Annual</w:t>
            </w:r>
          </w:p>
        </w:tc>
        <w:tc>
          <w:tcPr>
            <w:tcW w:w="1476" w:type="dxa"/>
            <w:tcBorders>
              <w:top w:val="single" w:sz="6" w:space="0" w:color="000000"/>
              <w:start w:val="single" w:sz="6" w:space="0" w:color="000000"/>
              <w:bottom w:val="single" w:sz="6" w:space="0" w:color="000000"/>
              <w:end w:val="single" w:sz="6" w:space="0" w:color="000000"/>
            </w:tcBorders>
          </w:tcPr>
          <w:p>
            <w:pPr>
              <w:pStyle w:val="Normal"/>
              <w:spacing w:lineRule="auto" w:line="360"/>
              <w:rPr>
                <w:sz w:val="24"/>
              </w:rPr>
            </w:pPr>
            <w:r>
              <w:rPr>
                <w:sz w:val="24"/>
              </w:rPr>
              <w:t>100 ug/m</w:t>
            </w:r>
            <w:r>
              <w:rPr>
                <w:sz w:val="24"/>
                <w:vertAlign w:val="superscript"/>
              </w:rPr>
              <w:t>3</w:t>
            </w:r>
          </w:p>
        </w:tc>
        <w:tc>
          <w:tcPr>
            <w:tcW w:w="1476" w:type="dxa"/>
            <w:tcBorders>
              <w:top w:val="single" w:sz="6" w:space="0" w:color="000000"/>
              <w:start w:val="single" w:sz="6" w:space="0" w:color="000000"/>
              <w:bottom w:val="single" w:sz="6" w:space="0" w:color="000000"/>
              <w:end w:val="single" w:sz="6" w:space="0" w:color="000000"/>
            </w:tcBorders>
          </w:tcPr>
          <w:p>
            <w:pPr>
              <w:pStyle w:val="Normal"/>
              <w:spacing w:lineRule="auto" w:line="360"/>
              <w:rPr>
                <w:sz w:val="24"/>
              </w:rPr>
            </w:pPr>
            <w:r>
              <w:rPr>
                <w:sz w:val="24"/>
              </w:rPr>
              <w:t>100 ug/m</w:t>
            </w:r>
            <w:r>
              <w:rPr>
                <w:sz w:val="24"/>
                <w:vertAlign w:val="superscript"/>
              </w:rPr>
              <w:t>3</w:t>
            </w:r>
          </w:p>
        </w:tc>
        <w:tc>
          <w:tcPr>
            <w:tcW w:w="1476" w:type="dxa"/>
            <w:tcBorders>
              <w:top w:val="single" w:sz="6" w:space="0" w:color="000000"/>
              <w:start w:val="single" w:sz="6" w:space="0" w:color="000000"/>
              <w:bottom w:val="single" w:sz="6" w:space="0" w:color="000000"/>
              <w:end w:val="single" w:sz="6" w:space="0" w:color="000000"/>
            </w:tcBorders>
          </w:tcPr>
          <w:p>
            <w:pPr>
              <w:pStyle w:val="Normal"/>
              <w:spacing w:lineRule="auto" w:line="360"/>
              <w:rPr>
                <w:sz w:val="24"/>
              </w:rPr>
            </w:pPr>
            <w:r>
              <w:rPr>
                <w:sz w:val="24"/>
              </w:rPr>
              <w:t>100 ug/m</w:t>
            </w:r>
            <w:r>
              <w:rPr>
                <w:sz w:val="24"/>
                <w:vertAlign w:val="superscript"/>
              </w:rPr>
              <w:t>3</w:t>
            </w:r>
          </w:p>
        </w:tc>
        <w:tc>
          <w:tcPr>
            <w:tcW w:w="1476" w:type="dxa"/>
            <w:tcBorders>
              <w:top w:val="single" w:sz="6" w:space="0" w:color="000000"/>
              <w:start w:val="single" w:sz="6" w:space="0" w:color="000000"/>
              <w:bottom w:val="single" w:sz="6" w:space="0" w:color="000000"/>
              <w:end w:val="single" w:sz="6" w:space="0" w:color="000000"/>
            </w:tcBorders>
          </w:tcPr>
          <w:p>
            <w:pPr>
              <w:pStyle w:val="Normal"/>
              <w:spacing w:lineRule="auto" w:line="360"/>
              <w:rPr>
                <w:sz w:val="24"/>
              </w:rPr>
            </w:pPr>
            <w:r>
              <w:rPr>
                <w:sz w:val="24"/>
              </w:rPr>
              <w:t>100 ug/m</w:t>
            </w:r>
            <w:r>
              <w:rPr>
                <w:sz w:val="24"/>
                <w:vertAlign w:val="superscript"/>
              </w:rPr>
              <w:t>3</w:t>
            </w:r>
          </w:p>
        </w:tc>
      </w:tr>
      <w:tr>
        <w:trPr/>
        <w:tc>
          <w:tcPr>
            <w:tcW w:w="1476" w:type="dxa"/>
            <w:tcBorders>
              <w:top w:val="single" w:sz="6" w:space="0" w:color="000000"/>
              <w:start w:val="single" w:sz="6" w:space="0" w:color="000000"/>
              <w:bottom w:val="single" w:sz="6" w:space="0" w:color="000000"/>
              <w:end w:val="single" w:sz="6" w:space="0" w:color="000000"/>
            </w:tcBorders>
          </w:tcPr>
          <w:p>
            <w:pPr>
              <w:pStyle w:val="Normal"/>
              <w:spacing w:lineRule="auto" w:line="360"/>
              <w:rPr>
                <w:sz w:val="24"/>
              </w:rPr>
            </w:pPr>
            <w:r>
              <w:rPr>
                <w:sz w:val="24"/>
              </w:rPr>
              <w:t>Ozone</w:t>
            </w:r>
          </w:p>
        </w:tc>
        <w:tc>
          <w:tcPr>
            <w:tcW w:w="1476" w:type="dxa"/>
            <w:tcBorders>
              <w:top w:val="single" w:sz="6" w:space="0" w:color="000000"/>
              <w:start w:val="single" w:sz="6" w:space="0" w:color="000000"/>
              <w:bottom w:val="single" w:sz="6" w:space="0" w:color="000000"/>
              <w:end w:val="single" w:sz="6" w:space="0" w:color="000000"/>
            </w:tcBorders>
          </w:tcPr>
          <w:p>
            <w:pPr>
              <w:pStyle w:val="Normal"/>
              <w:spacing w:lineRule="auto" w:line="360"/>
              <w:rPr>
                <w:sz w:val="24"/>
              </w:rPr>
            </w:pPr>
            <w:r>
              <w:rPr>
                <w:sz w:val="24"/>
              </w:rPr>
              <w:t>1-hour</w:t>
            </w:r>
          </w:p>
        </w:tc>
        <w:tc>
          <w:tcPr>
            <w:tcW w:w="1476" w:type="dxa"/>
            <w:tcBorders>
              <w:top w:val="single" w:sz="6" w:space="0" w:color="000000"/>
              <w:start w:val="single" w:sz="6" w:space="0" w:color="000000"/>
              <w:bottom w:val="single" w:sz="6" w:space="0" w:color="000000"/>
              <w:end w:val="single" w:sz="6" w:space="0" w:color="000000"/>
            </w:tcBorders>
          </w:tcPr>
          <w:p>
            <w:pPr>
              <w:pStyle w:val="Normal"/>
              <w:spacing w:lineRule="auto" w:line="360"/>
              <w:rPr>
                <w:sz w:val="24"/>
              </w:rPr>
            </w:pPr>
            <w:r>
              <w:rPr>
                <w:sz w:val="24"/>
              </w:rPr>
              <w:t>235 ug/m</w:t>
            </w:r>
            <w:r>
              <w:rPr>
                <w:sz w:val="24"/>
                <w:vertAlign w:val="superscript"/>
              </w:rPr>
              <w:t>3</w:t>
            </w:r>
          </w:p>
        </w:tc>
        <w:tc>
          <w:tcPr>
            <w:tcW w:w="1476" w:type="dxa"/>
            <w:tcBorders>
              <w:top w:val="single" w:sz="6" w:space="0" w:color="000000"/>
              <w:start w:val="single" w:sz="6" w:space="0" w:color="000000"/>
              <w:bottom w:val="single" w:sz="6" w:space="0" w:color="000000"/>
              <w:end w:val="single" w:sz="6" w:space="0" w:color="000000"/>
            </w:tcBorders>
          </w:tcPr>
          <w:p>
            <w:pPr>
              <w:pStyle w:val="Normal"/>
              <w:spacing w:lineRule="auto" w:line="360"/>
              <w:rPr>
                <w:sz w:val="24"/>
              </w:rPr>
            </w:pPr>
            <w:r>
              <w:rPr>
                <w:sz w:val="24"/>
              </w:rPr>
              <w:t>235 ug/m</w:t>
            </w:r>
            <w:r>
              <w:rPr>
                <w:sz w:val="24"/>
                <w:vertAlign w:val="superscript"/>
              </w:rPr>
              <w:t>3</w:t>
            </w:r>
          </w:p>
        </w:tc>
        <w:tc>
          <w:tcPr>
            <w:tcW w:w="1476" w:type="dxa"/>
            <w:tcBorders>
              <w:top w:val="single" w:sz="6" w:space="0" w:color="000000"/>
              <w:start w:val="single" w:sz="6" w:space="0" w:color="000000"/>
              <w:bottom w:val="single" w:sz="6" w:space="0" w:color="000000"/>
              <w:end w:val="single" w:sz="6" w:space="0" w:color="000000"/>
            </w:tcBorders>
          </w:tcPr>
          <w:p>
            <w:pPr>
              <w:pStyle w:val="Normal"/>
              <w:spacing w:lineRule="auto" w:line="360"/>
              <w:rPr>
                <w:sz w:val="24"/>
              </w:rPr>
            </w:pPr>
            <w:r>
              <w:rPr>
                <w:sz w:val="24"/>
              </w:rPr>
              <w:t>235 ug/m</w:t>
            </w:r>
            <w:r>
              <w:rPr>
                <w:sz w:val="24"/>
                <w:vertAlign w:val="superscript"/>
              </w:rPr>
              <w:t>3</w:t>
            </w:r>
          </w:p>
        </w:tc>
        <w:tc>
          <w:tcPr>
            <w:tcW w:w="1476" w:type="dxa"/>
            <w:tcBorders>
              <w:top w:val="single" w:sz="6" w:space="0" w:color="000000"/>
              <w:start w:val="single" w:sz="6" w:space="0" w:color="000000"/>
              <w:bottom w:val="single" w:sz="6" w:space="0" w:color="000000"/>
              <w:end w:val="single" w:sz="6" w:space="0" w:color="000000"/>
            </w:tcBorders>
          </w:tcPr>
          <w:p>
            <w:pPr>
              <w:pStyle w:val="Normal"/>
              <w:spacing w:lineRule="auto" w:line="360"/>
              <w:rPr>
                <w:sz w:val="24"/>
              </w:rPr>
            </w:pPr>
            <w:r>
              <w:rPr>
                <w:sz w:val="24"/>
              </w:rPr>
              <w:t>235 ug/m</w:t>
            </w:r>
            <w:r>
              <w:rPr>
                <w:sz w:val="24"/>
                <w:vertAlign w:val="superscript"/>
              </w:rPr>
              <w:t>3</w:t>
            </w:r>
          </w:p>
        </w:tc>
      </w:tr>
    </w:tbl>
    <w:p>
      <w:pPr>
        <w:pStyle w:val="Normal"/>
        <w:spacing w:lineRule="auto" w:line="360"/>
        <w:rPr>
          <w:sz w:val="24"/>
        </w:rPr>
      </w:pPr>
      <w:r>
        <w:rPr>
          <w:sz w:val="24"/>
        </w:rPr>
      </w:r>
    </w:p>
    <w:p>
      <w:pPr>
        <w:pStyle w:val="Normal"/>
        <w:spacing w:lineRule="auto" w:line="360"/>
        <w:rPr>
          <w:sz w:val="24"/>
        </w:rPr>
      </w:pPr>
      <w:r>
        <w:rPr>
          <w:sz w:val="24"/>
        </w:rPr>
        <w:t>The EPA and Arizona ambient air quality standards are the same.  Review of local air quality in the region around Kingman revealed that the local ambient air quality is better than state or federal standards.  The area is designated as a Class II attainment area for all criteria pollutants.</w:t>
      </w:r>
    </w:p>
    <w:p>
      <w:pPr>
        <w:pStyle w:val="Normal"/>
        <w:spacing w:lineRule="auto" w:line="360"/>
        <w:rPr>
          <w:sz w:val="24"/>
          <w:u w:val="single"/>
        </w:rPr>
      </w:pPr>
      <w:r>
        <w:rPr>
          <w:sz w:val="24"/>
          <w:u w:val="single"/>
        </w:rPr>
      </w:r>
    </w:p>
    <w:p>
      <w:pPr>
        <w:pStyle w:val="Normal"/>
        <w:spacing w:lineRule="auto" w:line="360"/>
        <w:rPr>
          <w:sz w:val="24"/>
          <w:u w:val="single"/>
        </w:rPr>
      </w:pPr>
      <w:r>
        <w:rPr>
          <w:sz w:val="24"/>
          <w:u w:val="single"/>
        </w:rPr>
        <w:t xml:space="preserve">3.2 Regulatory Summary </w:t>
      </w:r>
    </w:p>
    <w:p>
      <w:pPr>
        <w:pStyle w:val="Normal"/>
        <w:spacing w:lineRule="auto" w:line="360"/>
        <w:rPr>
          <w:sz w:val="24"/>
        </w:rPr>
      </w:pPr>
      <w:r>
        <w:rPr>
          <w:sz w:val="24"/>
        </w:rPr>
        <w:t>Federal regulations stipulate that a permit to construct a new major source or to modify an existing major source must undergo new source review to verify that the source will not cause or contribute to a violation of the NAAQS (see table above).  The proposed turbine is subject to NSR review by the Arizona DEQ.</w:t>
      </w:r>
    </w:p>
    <w:p>
      <w:pPr>
        <w:pStyle w:val="Normal"/>
        <w:spacing w:lineRule="auto" w:line="360"/>
        <w:rPr>
          <w:sz w:val="24"/>
        </w:rPr>
      </w:pPr>
      <w:r>
        <w:rPr>
          <w:sz w:val="24"/>
        </w:rPr>
      </w:r>
    </w:p>
    <w:p>
      <w:pPr>
        <w:pStyle w:val="Normal"/>
        <w:spacing w:lineRule="auto" w:line="360"/>
        <w:rPr>
          <w:sz w:val="24"/>
          <w:u w:val="single"/>
        </w:rPr>
      </w:pPr>
      <w:r>
        <w:rPr>
          <w:sz w:val="24"/>
          <w:u w:val="single"/>
        </w:rPr>
        <w:t>3.2.1 Federal Regulatory Requirements</w:t>
      </w:r>
    </w:p>
    <w:p>
      <w:pPr>
        <w:pStyle w:val="Normal"/>
        <w:spacing w:lineRule="auto" w:line="360"/>
        <w:rPr>
          <w:sz w:val="24"/>
        </w:rPr>
      </w:pPr>
      <w:r>
        <w:rPr>
          <w:sz w:val="24"/>
        </w:rPr>
        <w:t>The Kingman Compressor Station is located in an area designated as attainment for all criteria pollutants.  Therefore, non-attainment regulations are not applicable to this facility.  The proposed project will result in a significant decrease in NOx and CO emissions.  These decreases offset the proposed increases such that netting shows that the PSD significance levels will not be exceeded.  Therefore, federal permitting (PSD or NNSR) is not required by this project.</w:t>
      </w:r>
    </w:p>
    <w:p>
      <w:pPr>
        <w:pStyle w:val="Normal"/>
        <w:spacing w:lineRule="auto" w:line="360"/>
        <w:rPr>
          <w:sz w:val="24"/>
        </w:rPr>
      </w:pPr>
      <w:r>
        <w:rPr>
          <w:sz w:val="24"/>
        </w:rPr>
        <w:t xml:space="preserve"> </w:t>
      </w:r>
    </w:p>
    <w:p>
      <w:pPr>
        <w:pStyle w:val="Normal"/>
        <w:spacing w:lineRule="auto" w:line="360"/>
        <w:rPr>
          <w:sz w:val="24"/>
          <w:u w:val="single"/>
        </w:rPr>
      </w:pPr>
      <w:r>
        <w:rPr>
          <w:sz w:val="24"/>
          <w:u w:val="single"/>
        </w:rPr>
        <w:t>New Source Performance Standards  (40 CFR 60)</w:t>
      </w:r>
    </w:p>
    <w:p>
      <w:pPr>
        <w:pStyle w:val="Normal"/>
        <w:spacing w:lineRule="auto" w:line="360"/>
        <w:rPr>
          <w:sz w:val="24"/>
        </w:rPr>
      </w:pPr>
      <w:r>
        <w:rPr>
          <w:sz w:val="24"/>
        </w:rPr>
        <w:t xml:space="preserve">The proposed turbine is subject to the requirements of 40 CFR Subpart GG – Standards of Performance for Stationary Gas Turbines (40 CFR 60.330).  TWP will comply with all applicable emission limits, testing, recordkeeping, and reporting requirements stipulated in the subpart and the general provisions (Subpart A).  </w:t>
      </w:r>
    </w:p>
    <w:p>
      <w:pPr>
        <w:pStyle w:val="Normal"/>
        <w:spacing w:lineRule="auto" w:line="360"/>
        <w:rPr>
          <w:sz w:val="24"/>
        </w:rPr>
      </w:pPr>
      <w:r>
        <w:rPr>
          <w:sz w:val="24"/>
        </w:rPr>
      </w:r>
    </w:p>
    <w:p>
      <w:pPr>
        <w:pStyle w:val="Normal"/>
        <w:spacing w:lineRule="auto" w:line="360"/>
        <w:rPr>
          <w:sz w:val="24"/>
        </w:rPr>
      </w:pPr>
      <w:r>
        <w:rPr>
          <w:sz w:val="24"/>
        </w:rPr>
        <w:t>As allowed by the subpart, TWP is requesting the approval of a custom fuel monitoring schedule for the gas turbine.  The subpart requires operators to monitor fuel gas nitrogen and sulfur content on a daily basis.  However, the EPA routinely approves custom schedules for turbines that are fueled exclusively by sweet pipeline quality natural gas.  A proposed custom fuel monitoring schedule is included in Appendix B.</w:t>
      </w:r>
    </w:p>
    <w:p>
      <w:pPr>
        <w:pStyle w:val="Normal"/>
        <w:spacing w:lineRule="auto" w:line="360"/>
        <w:rPr>
          <w:sz w:val="24"/>
        </w:rPr>
      </w:pPr>
      <w:r>
        <w:rPr>
          <w:sz w:val="24"/>
        </w:rPr>
      </w:r>
    </w:p>
    <w:p>
      <w:pPr>
        <w:pStyle w:val="Normal"/>
        <w:spacing w:lineRule="auto" w:line="360"/>
        <w:rPr>
          <w:sz w:val="24"/>
        </w:rPr>
      </w:pPr>
      <w:r>
        <w:rPr>
          <w:sz w:val="24"/>
        </w:rPr>
        <w:t>There are no NSPS standards for reciprocating engines.</w:t>
      </w:r>
    </w:p>
    <w:p>
      <w:pPr>
        <w:pStyle w:val="Normal"/>
        <w:spacing w:lineRule="auto" w:line="360"/>
        <w:rPr>
          <w:sz w:val="24"/>
          <w:u w:val="single"/>
        </w:rPr>
      </w:pPr>
      <w:r>
        <w:rPr>
          <w:sz w:val="24"/>
          <w:u w:val="single"/>
        </w:rPr>
        <w:t>National Emission Standards for Hazardous Air Pollutants (40 CFR 61)</w:t>
      </w:r>
    </w:p>
    <w:p>
      <w:pPr>
        <w:pStyle w:val="Normal"/>
        <w:spacing w:lineRule="auto" w:line="360"/>
        <w:rPr>
          <w:sz w:val="24"/>
        </w:rPr>
      </w:pPr>
      <w:r>
        <w:rPr>
          <w:sz w:val="24"/>
        </w:rPr>
        <w:t>There are no NESHAP standards which effect any existing or proposed sources located at the Kingman Compressor Station.</w:t>
      </w:r>
    </w:p>
    <w:p>
      <w:pPr>
        <w:pStyle w:val="Normal"/>
        <w:spacing w:lineRule="auto" w:line="360"/>
        <w:rPr>
          <w:sz w:val="24"/>
        </w:rPr>
      </w:pPr>
      <w:r>
        <w:rPr>
          <w:sz w:val="24"/>
        </w:rPr>
      </w:r>
    </w:p>
    <w:p>
      <w:pPr>
        <w:pStyle w:val="Normal"/>
        <w:spacing w:lineRule="auto" w:line="360"/>
        <w:rPr>
          <w:sz w:val="24"/>
          <w:u w:val="single"/>
        </w:rPr>
      </w:pPr>
      <w:r>
        <w:rPr>
          <w:sz w:val="24"/>
          <w:u w:val="single"/>
        </w:rPr>
        <w:t xml:space="preserve">NESHAP for Source Categories (40 CFR 63) </w:t>
      </w:r>
    </w:p>
    <w:p>
      <w:pPr>
        <w:pStyle w:val="Normal"/>
        <w:spacing w:lineRule="auto" w:line="360"/>
        <w:rPr>
          <w:sz w:val="24"/>
        </w:rPr>
      </w:pPr>
      <w:r>
        <w:rPr>
          <w:sz w:val="24"/>
        </w:rPr>
        <w:t>The only potentially applicable MACT requirements are Subparts HH and HHH.  These rules affect gas plants, and oil and gas storage and transmissions facilities which are classified as major sources of HAPs.  Emissions of any single HAP do not exceed 10 tpy and aggregate emissions of HAP do not exceed 25 tpy.  Therefore, the Kingman Compressor Station is not subject to either of these standards.</w:t>
      </w:r>
    </w:p>
    <w:p>
      <w:pPr>
        <w:pStyle w:val="Normal"/>
        <w:spacing w:lineRule="auto" w:line="360"/>
        <w:rPr>
          <w:sz w:val="24"/>
        </w:rPr>
      </w:pPr>
      <w:r>
        <w:rPr>
          <w:sz w:val="24"/>
        </w:rPr>
      </w:r>
    </w:p>
    <w:p>
      <w:pPr>
        <w:pStyle w:val="Normal"/>
        <w:spacing w:lineRule="auto" w:line="360"/>
        <w:rPr>
          <w:sz w:val="24"/>
          <w:u w:val="single"/>
        </w:rPr>
      </w:pPr>
      <w:r>
        <w:rPr>
          <w:sz w:val="24"/>
          <w:u w:val="single"/>
        </w:rPr>
        <w:t>3.2.2 State Regulatory Requirements</w:t>
      </w:r>
    </w:p>
    <w:p>
      <w:pPr>
        <w:pStyle w:val="Normal"/>
        <w:spacing w:lineRule="auto" w:line="360"/>
        <w:rPr>
          <w:sz w:val="24"/>
        </w:rPr>
      </w:pPr>
      <w:r>
        <w:rPr>
          <w:sz w:val="24"/>
        </w:rPr>
        <w:t>TWP will comply with all applicable state regulatory requirements at the Kingman Compressor Station.  The existing Title V permit already stipulates the applicable regulatory requirements for which compliance is required.  These requirements were codified in the permit based on the representations in the Title V permit application.  TWP is operating the facility in compliance with these regulations.</w:t>
      </w:r>
    </w:p>
    <w:p>
      <w:pPr>
        <w:pStyle w:val="Normal"/>
        <w:spacing w:lineRule="auto" w:line="360"/>
        <w:rPr>
          <w:sz w:val="24"/>
        </w:rPr>
      </w:pPr>
      <w:r>
        <w:rPr>
          <w:sz w:val="24"/>
        </w:rPr>
      </w:r>
    </w:p>
    <w:p>
      <w:pPr>
        <w:pStyle w:val="Normal"/>
        <w:spacing w:lineRule="auto" w:line="360"/>
        <w:rPr>
          <w:sz w:val="24"/>
        </w:rPr>
      </w:pPr>
      <w:r>
        <w:rPr>
          <w:sz w:val="24"/>
        </w:rPr>
        <w:t>The proposed turbine and generator engine installation project may require compliance with additional state regulations.  The following review addresses these potentially applicable requirements:</w:t>
      </w:r>
    </w:p>
    <w:p>
      <w:pPr>
        <w:pStyle w:val="Normal"/>
        <w:spacing w:lineRule="auto" w:line="360"/>
        <w:rPr>
          <w:sz w:val="24"/>
        </w:rPr>
      </w:pPr>
      <w:r>
        <w:rPr>
          <w:sz w:val="24"/>
        </w:rPr>
      </w:r>
    </w:p>
    <w:p>
      <w:pPr>
        <w:pStyle w:val="Normal"/>
        <w:spacing w:lineRule="auto" w:line="360"/>
        <w:rPr>
          <w:sz w:val="24"/>
        </w:rPr>
      </w:pPr>
      <w:r>
        <w:rPr>
          <w:sz w:val="24"/>
        </w:rPr>
        <w:t>Title 18 Chapter 2 Article 6 – Emissions from Existing and New Nonpoint Sources</w:t>
      </w:r>
    </w:p>
    <w:p>
      <w:pPr>
        <w:pStyle w:val="Normal"/>
        <w:spacing w:lineRule="auto" w:line="360"/>
        <w:rPr>
          <w:sz w:val="24"/>
        </w:rPr>
      </w:pPr>
      <w:r>
        <w:rPr>
          <w:sz w:val="24"/>
        </w:rPr>
        <w:t>TWP will continue to comply with all of the applicable requirements of this article.  The Red Rock Expansion project will not result in the installation of any new nonpoint sources.</w:t>
      </w:r>
    </w:p>
    <w:p>
      <w:pPr>
        <w:pStyle w:val="Normal"/>
        <w:spacing w:lineRule="auto" w:line="360"/>
        <w:rPr>
          <w:sz w:val="24"/>
        </w:rPr>
      </w:pPr>
      <w:r>
        <w:rPr>
          <w:sz w:val="24"/>
        </w:rPr>
      </w:r>
    </w:p>
    <w:p>
      <w:pPr>
        <w:pStyle w:val="Normal"/>
        <w:spacing w:lineRule="auto" w:line="360"/>
        <w:rPr>
          <w:sz w:val="24"/>
        </w:rPr>
      </w:pPr>
      <w:r>
        <w:rPr>
          <w:sz w:val="24"/>
        </w:rPr>
        <w:t>Title 18 Chapter 2 Article 7 – Existing Stationary Source Performance Standards</w:t>
      </w:r>
    </w:p>
    <w:p>
      <w:pPr>
        <w:pStyle w:val="Normal"/>
        <w:spacing w:lineRule="auto" w:line="360"/>
        <w:rPr>
          <w:sz w:val="24"/>
        </w:rPr>
      </w:pPr>
      <w:r>
        <w:rPr>
          <w:sz w:val="24"/>
        </w:rPr>
        <w:t>Existing equipment at the Kingman Compressor Station is not subject to any performance standards codified in this article.</w:t>
      </w:r>
    </w:p>
    <w:p>
      <w:pPr>
        <w:pStyle w:val="Normal"/>
        <w:spacing w:lineRule="auto" w:line="360"/>
        <w:rPr>
          <w:sz w:val="24"/>
        </w:rPr>
      </w:pPr>
      <w:r>
        <w:rPr>
          <w:sz w:val="24"/>
        </w:rPr>
        <w:t>Title 18 Chapter 2 Article 8 – Emissions from Mobile Sources (New and Existing)</w:t>
      </w:r>
    </w:p>
    <w:p>
      <w:pPr>
        <w:pStyle w:val="Normal"/>
        <w:spacing w:lineRule="auto" w:line="360"/>
        <w:rPr>
          <w:sz w:val="24"/>
        </w:rPr>
      </w:pPr>
      <w:r>
        <w:rPr>
          <w:sz w:val="24"/>
        </w:rPr>
        <w:t>Operations and equipment at the Kingman Compressor Station are not subject to the requirements of this article.  TWP will insure that company vehicles comply with all applicable standards for motor vehicles in Arizona.</w:t>
      </w:r>
    </w:p>
    <w:p>
      <w:pPr>
        <w:pStyle w:val="Normal"/>
        <w:spacing w:lineRule="auto" w:line="360"/>
        <w:rPr>
          <w:sz w:val="24"/>
        </w:rPr>
      </w:pPr>
      <w:r>
        <w:rPr>
          <w:sz w:val="24"/>
        </w:rPr>
      </w:r>
    </w:p>
    <w:p>
      <w:pPr>
        <w:pStyle w:val="Normal"/>
        <w:spacing w:lineRule="auto" w:line="360"/>
        <w:rPr>
          <w:sz w:val="24"/>
        </w:rPr>
      </w:pPr>
      <w:r>
        <w:rPr>
          <w:sz w:val="24"/>
        </w:rPr>
        <w:t>Title 18 Chapter 2 Article 9 – New Source Performance Standards</w:t>
      </w:r>
    </w:p>
    <w:p>
      <w:pPr>
        <w:pStyle w:val="Normal"/>
        <w:spacing w:lineRule="auto" w:line="360"/>
        <w:rPr>
          <w:sz w:val="24"/>
        </w:rPr>
      </w:pPr>
      <w:r>
        <w:rPr>
          <w:sz w:val="24"/>
        </w:rPr>
        <w:t>The GE LM2500 turbine will comply with the applicable requirements of 40 CFR 60.330, Subpart GG.  The generator engine is not subject to any new source performance standard.</w:t>
      </w:r>
    </w:p>
    <w:p>
      <w:pPr>
        <w:pStyle w:val="Normal"/>
        <w:spacing w:lineRule="auto" w:line="360"/>
        <w:rPr>
          <w:sz w:val="24"/>
        </w:rPr>
      </w:pPr>
      <w:r>
        <w:rPr>
          <w:sz w:val="24"/>
        </w:rPr>
      </w:r>
    </w:p>
    <w:p>
      <w:pPr>
        <w:pStyle w:val="Normal"/>
        <w:spacing w:lineRule="auto" w:line="360"/>
        <w:rPr>
          <w:sz w:val="24"/>
        </w:rPr>
      </w:pPr>
      <w:r>
        <w:rPr>
          <w:sz w:val="24"/>
        </w:rPr>
        <w:t>Title 18 Chapter 2 Article 11 – Federal Hazardous Air Pollutants</w:t>
      </w:r>
    </w:p>
    <w:p>
      <w:pPr>
        <w:pStyle w:val="Normal"/>
        <w:spacing w:lineRule="auto" w:line="360"/>
        <w:rPr>
          <w:sz w:val="24"/>
        </w:rPr>
      </w:pPr>
      <w:r>
        <w:rPr>
          <w:sz w:val="24"/>
        </w:rPr>
        <w:t>There are no applicable NESHAP or MACT standards at the Kingman Compressor Station.</w:t>
      </w:r>
      <w:r>
        <w:br w:type="page"/>
      </w:r>
    </w:p>
    <w:p>
      <w:pPr>
        <w:pStyle w:val="Normal"/>
        <w:spacing w:lineRule="auto" w:line="360"/>
        <w:rPr>
          <w:sz w:val="24"/>
        </w:rPr>
      </w:pPr>
      <w:r>
        <w:rPr>
          <w:sz w:val="24"/>
        </w:rPr>
      </w:r>
    </w:p>
    <w:p>
      <w:pPr>
        <w:pStyle w:val="Normal"/>
        <w:spacing w:lineRule="auto" w:line="360"/>
        <w:rPr>
          <w:sz w:val="24"/>
        </w:rPr>
      </w:pPr>
      <w:r>
        <w:rPr>
          <w:sz w:val="24"/>
        </w:rPr>
      </w:r>
    </w:p>
    <w:p>
      <w:pPr>
        <w:pStyle w:val="Normal"/>
        <w:spacing w:lineRule="auto" w:line="360"/>
        <w:rPr>
          <w:sz w:val="24"/>
        </w:rPr>
      </w:pPr>
      <w:r>
        <w:rPr>
          <w:sz w:val="24"/>
        </w:rPr>
      </w:r>
    </w:p>
    <w:p>
      <w:pPr>
        <w:pStyle w:val="Normal"/>
        <w:spacing w:lineRule="auto" w:line="360"/>
        <w:rPr>
          <w:sz w:val="24"/>
        </w:rPr>
      </w:pPr>
      <w:r>
        <w:rPr>
          <w:sz w:val="24"/>
        </w:rPr>
      </w:r>
    </w:p>
    <w:p>
      <w:pPr>
        <w:pStyle w:val="Normal"/>
        <w:spacing w:lineRule="auto" w:line="360"/>
        <w:rPr>
          <w:sz w:val="24"/>
        </w:rPr>
      </w:pPr>
      <w:r>
        <w:rPr>
          <w:sz w:val="24"/>
        </w:rPr>
      </w:r>
    </w:p>
    <w:p>
      <w:pPr>
        <w:pStyle w:val="Normal"/>
        <w:spacing w:lineRule="auto" w:line="360"/>
        <w:rPr>
          <w:sz w:val="24"/>
        </w:rPr>
      </w:pPr>
      <w:r>
        <w:rPr>
          <w:sz w:val="24"/>
        </w:rPr>
      </w:r>
    </w:p>
    <w:p>
      <w:pPr>
        <w:pStyle w:val="Normal"/>
        <w:spacing w:lineRule="auto" w:line="360"/>
        <w:rPr>
          <w:sz w:val="24"/>
        </w:rPr>
      </w:pPr>
      <w:r>
        <w:rPr>
          <w:sz w:val="24"/>
        </w:rPr>
      </w:r>
    </w:p>
    <w:p>
      <w:pPr>
        <w:pStyle w:val="Normal"/>
        <w:spacing w:lineRule="auto" w:line="360"/>
        <w:rPr>
          <w:sz w:val="24"/>
        </w:rPr>
      </w:pPr>
      <w:r>
        <w:rPr>
          <w:sz w:val="24"/>
        </w:rPr>
      </w:r>
    </w:p>
    <w:p>
      <w:pPr>
        <w:pStyle w:val="Normal"/>
        <w:spacing w:lineRule="auto" w:line="360"/>
        <w:rPr>
          <w:sz w:val="24"/>
        </w:rPr>
      </w:pPr>
      <w:r>
        <w:rPr>
          <w:sz w:val="24"/>
        </w:rPr>
      </w:r>
    </w:p>
    <w:p>
      <w:pPr>
        <w:pStyle w:val="Normal"/>
        <w:spacing w:lineRule="auto" w:line="360"/>
        <w:rPr>
          <w:sz w:val="24"/>
        </w:rPr>
      </w:pPr>
      <w:r>
        <w:rPr>
          <w:sz w:val="24"/>
        </w:rPr>
      </w:r>
    </w:p>
    <w:p>
      <w:pPr>
        <w:pStyle w:val="Normal"/>
        <w:spacing w:lineRule="auto" w:line="360"/>
        <w:rPr>
          <w:sz w:val="24"/>
        </w:rPr>
      </w:pPr>
      <w:r>
        <w:rPr>
          <w:sz w:val="24"/>
        </w:rPr>
      </w:r>
    </w:p>
    <w:p>
      <w:pPr>
        <w:pStyle w:val="Normal"/>
        <w:spacing w:lineRule="auto" w:line="360"/>
        <w:jc w:val="center"/>
        <w:rPr>
          <w:sz w:val="24"/>
        </w:rPr>
      </w:pPr>
      <w:r>
        <w:rPr>
          <w:sz w:val="24"/>
        </w:rPr>
        <w:t>Appendix A</w:t>
      </w:r>
    </w:p>
    <w:p>
      <w:pPr>
        <w:pStyle w:val="Normal"/>
        <w:spacing w:lineRule="auto" w:line="360"/>
        <w:jc w:val="center"/>
        <w:rPr>
          <w:sz w:val="24"/>
        </w:rPr>
      </w:pPr>
      <w:r>
        <w:rPr>
          <w:sz w:val="24"/>
        </w:rPr>
      </w:r>
    </w:p>
    <w:p>
      <w:pPr>
        <w:pStyle w:val="Normal"/>
        <w:spacing w:lineRule="auto" w:line="360"/>
        <w:jc w:val="center"/>
        <w:rPr>
          <w:sz w:val="24"/>
        </w:rPr>
      </w:pPr>
      <w:r>
        <w:rPr>
          <w:sz w:val="24"/>
        </w:rPr>
        <w:t>Tables</w:t>
      </w:r>
    </w:p>
    <w:p>
      <w:pPr>
        <w:pStyle w:val="Normal"/>
        <w:spacing w:lineRule="auto" w:line="360"/>
        <w:rPr>
          <w:sz w:val="24"/>
        </w:rPr>
      </w:pPr>
      <w:r>
        <w:rPr>
          <w:sz w:val="24"/>
        </w:rPr>
      </w:r>
    </w:p>
    <w:p>
      <w:pPr>
        <w:pStyle w:val="Normal"/>
        <w:spacing w:lineRule="auto" w:line="360"/>
        <w:rPr>
          <w:sz w:val="24"/>
        </w:rPr>
      </w:pPr>
      <w:r>
        <w:rPr>
          <w:sz w:val="24"/>
        </w:rPr>
      </w:r>
    </w:p>
    <w:p>
      <w:pPr>
        <w:pStyle w:val="Normal"/>
        <w:spacing w:lineRule="auto" w:line="360"/>
        <w:rPr>
          <w:sz w:val="24"/>
        </w:rPr>
      </w:pPr>
      <w:r>
        <w:rPr>
          <w:sz w:val="24"/>
        </w:rPr>
      </w:r>
    </w:p>
    <w:p>
      <w:pPr>
        <w:pStyle w:val="Normal"/>
        <w:spacing w:lineRule="auto" w:line="360"/>
        <w:rPr>
          <w:sz w:val="24"/>
        </w:rPr>
      </w:pPr>
      <w:r>
        <w:rPr>
          <w:sz w:val="24"/>
        </w:rPr>
      </w:r>
    </w:p>
    <w:p>
      <w:pPr>
        <w:pStyle w:val="Normal"/>
        <w:spacing w:lineRule="auto" w:line="360"/>
        <w:rPr>
          <w:sz w:val="24"/>
        </w:rPr>
      </w:pPr>
      <w:r>
        <w:rPr>
          <w:sz w:val="24"/>
        </w:rPr>
      </w:r>
      <w:r>
        <w:br w:type="page"/>
      </w:r>
    </w:p>
    <w:p>
      <w:pPr>
        <w:pStyle w:val="Normal"/>
        <w:spacing w:lineRule="auto" w:line="360"/>
        <w:jc w:val="center"/>
        <w:rPr>
          <w:sz w:val="24"/>
        </w:rPr>
      </w:pPr>
      <w:r>
        <w:rPr>
          <w:sz w:val="24"/>
        </w:rPr>
      </w:r>
    </w:p>
    <w:p>
      <w:pPr>
        <w:pStyle w:val="Normal"/>
        <w:spacing w:lineRule="auto" w:line="360"/>
        <w:jc w:val="center"/>
        <w:rPr>
          <w:sz w:val="24"/>
        </w:rPr>
      </w:pPr>
      <w:r>
        <w:rPr>
          <w:sz w:val="24"/>
        </w:rPr>
      </w:r>
    </w:p>
    <w:p>
      <w:pPr>
        <w:pStyle w:val="Normal"/>
        <w:spacing w:lineRule="auto" w:line="360"/>
        <w:jc w:val="center"/>
        <w:rPr>
          <w:sz w:val="24"/>
        </w:rPr>
      </w:pPr>
      <w:r>
        <w:rPr>
          <w:sz w:val="24"/>
        </w:rPr>
      </w:r>
    </w:p>
    <w:p>
      <w:pPr>
        <w:pStyle w:val="Normal"/>
        <w:spacing w:lineRule="auto" w:line="360"/>
        <w:jc w:val="center"/>
        <w:rPr>
          <w:sz w:val="24"/>
        </w:rPr>
      </w:pPr>
      <w:r>
        <w:rPr>
          <w:sz w:val="24"/>
        </w:rPr>
      </w:r>
    </w:p>
    <w:p>
      <w:pPr>
        <w:pStyle w:val="Normal"/>
        <w:spacing w:lineRule="auto" w:line="360"/>
        <w:jc w:val="center"/>
        <w:rPr>
          <w:sz w:val="24"/>
        </w:rPr>
      </w:pPr>
      <w:r>
        <w:rPr>
          <w:sz w:val="24"/>
        </w:rPr>
      </w:r>
    </w:p>
    <w:p>
      <w:pPr>
        <w:pStyle w:val="Normal"/>
        <w:spacing w:lineRule="auto" w:line="360"/>
        <w:jc w:val="center"/>
        <w:rPr>
          <w:sz w:val="24"/>
        </w:rPr>
      </w:pPr>
      <w:r>
        <w:rPr>
          <w:sz w:val="24"/>
        </w:rPr>
      </w:r>
    </w:p>
    <w:p>
      <w:pPr>
        <w:pStyle w:val="Normal"/>
        <w:spacing w:lineRule="auto" w:line="360"/>
        <w:jc w:val="center"/>
        <w:rPr>
          <w:sz w:val="24"/>
        </w:rPr>
      </w:pPr>
      <w:r>
        <w:rPr>
          <w:sz w:val="24"/>
        </w:rPr>
      </w:r>
    </w:p>
    <w:p>
      <w:pPr>
        <w:pStyle w:val="Normal"/>
        <w:spacing w:lineRule="auto" w:line="360"/>
        <w:jc w:val="center"/>
        <w:rPr>
          <w:sz w:val="24"/>
        </w:rPr>
      </w:pPr>
      <w:r>
        <w:rPr>
          <w:sz w:val="24"/>
        </w:rPr>
      </w:r>
    </w:p>
    <w:p>
      <w:pPr>
        <w:pStyle w:val="Normal"/>
        <w:spacing w:lineRule="auto" w:line="360"/>
        <w:jc w:val="center"/>
        <w:rPr>
          <w:sz w:val="24"/>
        </w:rPr>
      </w:pPr>
      <w:r>
        <w:rPr>
          <w:sz w:val="24"/>
        </w:rPr>
      </w:r>
    </w:p>
    <w:p>
      <w:pPr>
        <w:pStyle w:val="Normal"/>
        <w:spacing w:lineRule="auto" w:line="360"/>
        <w:jc w:val="center"/>
        <w:rPr>
          <w:sz w:val="24"/>
        </w:rPr>
      </w:pPr>
      <w:r>
        <w:rPr>
          <w:sz w:val="24"/>
        </w:rPr>
      </w:r>
    </w:p>
    <w:p>
      <w:pPr>
        <w:pStyle w:val="Normal"/>
        <w:spacing w:lineRule="auto" w:line="360"/>
        <w:jc w:val="center"/>
        <w:rPr>
          <w:sz w:val="24"/>
        </w:rPr>
      </w:pPr>
      <w:r>
        <w:rPr>
          <w:sz w:val="24"/>
        </w:rPr>
      </w:r>
    </w:p>
    <w:p>
      <w:pPr>
        <w:pStyle w:val="Normal"/>
        <w:spacing w:lineRule="auto" w:line="360"/>
        <w:jc w:val="center"/>
        <w:rPr>
          <w:sz w:val="24"/>
        </w:rPr>
      </w:pPr>
      <w:r>
        <w:rPr>
          <w:sz w:val="24"/>
        </w:rPr>
      </w:r>
    </w:p>
    <w:p>
      <w:pPr>
        <w:pStyle w:val="Normal"/>
        <w:spacing w:lineRule="auto" w:line="360"/>
        <w:jc w:val="center"/>
        <w:rPr>
          <w:sz w:val="24"/>
        </w:rPr>
      </w:pPr>
      <w:r>
        <w:rPr>
          <w:sz w:val="24"/>
        </w:rPr>
        <w:t>Appendix B</w:t>
      </w:r>
    </w:p>
    <w:p>
      <w:pPr>
        <w:pStyle w:val="Normal"/>
        <w:spacing w:lineRule="auto" w:line="360"/>
        <w:jc w:val="center"/>
        <w:rPr>
          <w:sz w:val="24"/>
        </w:rPr>
      </w:pPr>
      <w:r>
        <w:rPr>
          <w:sz w:val="24"/>
        </w:rPr>
      </w:r>
    </w:p>
    <w:p>
      <w:pPr>
        <w:pStyle w:val="Normal"/>
        <w:spacing w:lineRule="auto" w:line="360"/>
        <w:jc w:val="center"/>
        <w:rPr>
          <w:sz w:val="24"/>
        </w:rPr>
      </w:pPr>
      <w:r>
        <w:rPr>
          <w:sz w:val="24"/>
        </w:rPr>
        <w:t>Proposed Custom Fuel Monitoring Schedule</w:t>
      </w:r>
      <w:r>
        <w:br w:type="page"/>
      </w:r>
    </w:p>
    <w:p>
      <w:pPr>
        <w:pStyle w:val="Normal"/>
        <w:spacing w:lineRule="auto" w:line="223"/>
        <w:jc w:val="center"/>
        <w:rPr>
          <w:color w:val="000000"/>
        </w:rPr>
      </w:pPr>
      <w:r>
        <w:rPr>
          <w:b/>
        </w:rPr>
        <w:t>PROPOSED</w:t>
      </w:r>
      <w:r>
        <w:rPr>
          <w:b/>
          <w:color w:val="000000"/>
        </w:rPr>
        <w:t xml:space="preserve"> CUSTOM FUEL MONITORING SCHEDULE</w:t>
      </w:r>
    </w:p>
    <w:p>
      <w:pPr>
        <w:pStyle w:val="Normal"/>
        <w:jc w:val="center"/>
        <w:rPr>
          <w:b/>
          <w:color w:val="000000"/>
        </w:rPr>
      </w:pPr>
      <w:r>
        <w:rPr>
          <w:b/>
          <w:color w:val="000000"/>
        </w:rPr>
        <w:t>FOR THE KINGMAN COMPRESSOR STATION</w:t>
      </w:r>
    </w:p>
    <w:p>
      <w:pPr>
        <w:pStyle w:val="Normal"/>
        <w:jc w:val="center"/>
        <w:rPr>
          <w:b/>
          <w:color w:val="000000"/>
        </w:rPr>
      </w:pPr>
      <w:r>
        <w:rPr>
          <w:b/>
          <w:color w:val="000000"/>
        </w:rPr>
      </w:r>
    </w:p>
    <w:p>
      <w:pPr>
        <w:pStyle w:val="Normal"/>
        <w:jc w:val="both"/>
        <w:rPr/>
      </w:pPr>
      <w:r>
        <w:rPr>
          <w:color w:val="000000"/>
          <w:sz w:val="24"/>
        </w:rPr>
        <w:t xml:space="preserve">Stationary gas turbines subject to 40 CFR 60 Subpart GG shall only fire natural gas and may be allowed to utilize a custom fuel monitoring schedule, as an alternative provided for under 40 CFR, </w:t>
      </w:r>
      <w:r>
        <w:rPr>
          <w:rFonts w:eastAsia="WP TypographicSymbols" w:cs="WP TypographicSymbols" w:ascii="WP TypographicSymbols" w:hAnsi="WP TypographicSymbols"/>
          <w:color w:val="000000"/>
          <w:sz w:val="24"/>
        </w:rPr>
        <w:t>'</w:t>
      </w:r>
      <w:r>
        <w:rPr>
          <w:color w:val="000000"/>
          <w:sz w:val="24"/>
        </w:rPr>
        <w:t>60.334(b)(2), as long as the provisions are at least as stringent as the following.</w:t>
      </w:r>
    </w:p>
    <w:p>
      <w:pPr>
        <w:pStyle w:val="Normal"/>
        <w:rPr>
          <w:color w:val="000000"/>
          <w:sz w:val="24"/>
        </w:rPr>
      </w:pPr>
      <w:r>
        <w:rPr>
          <w:color w:val="000000"/>
          <w:sz w:val="24"/>
        </w:rPr>
      </w:r>
    </w:p>
    <w:p>
      <w:pPr>
        <w:pStyle w:val="Normal"/>
        <w:ind w:firstLine="2160" w:end="0"/>
        <w:jc w:val="both"/>
        <w:rPr>
          <w:color w:val="000000"/>
          <w:sz w:val="24"/>
        </w:rPr>
      </w:pPr>
      <w:r>
        <w:rPr>
          <w:color w:val="000000"/>
          <w:sz w:val="24"/>
        </w:rPr>
        <w:t>(A)  Monitoring of fuel nitrogen is not required while pipeline quality natural gas is the only fuel fired in the gas turbine.</w:t>
      </w:r>
    </w:p>
    <w:p>
      <w:pPr>
        <w:pStyle w:val="Normal"/>
        <w:rPr>
          <w:color w:val="000000"/>
          <w:sz w:val="24"/>
        </w:rPr>
      </w:pPr>
      <w:r>
        <w:rPr>
          <w:color w:val="000000"/>
          <w:sz w:val="24"/>
        </w:rPr>
      </w:r>
    </w:p>
    <w:p>
      <w:pPr>
        <w:pStyle w:val="Normal"/>
        <w:ind w:firstLine="2160" w:end="0"/>
        <w:jc w:val="both"/>
        <w:rPr>
          <w:color w:val="000000"/>
          <w:sz w:val="24"/>
        </w:rPr>
      </w:pPr>
      <w:r>
        <w:rPr>
          <w:color w:val="000000"/>
          <w:sz w:val="24"/>
        </w:rPr>
        <w:t>(B)  The fuel supplier or suppliers shall be identified for the record during turbine startup, and at any time that the fuel supplier or suppliers change.</w:t>
      </w:r>
    </w:p>
    <w:p>
      <w:pPr>
        <w:pStyle w:val="Normal"/>
        <w:rPr>
          <w:color w:val="000000"/>
          <w:sz w:val="24"/>
        </w:rPr>
      </w:pPr>
      <w:r>
        <w:rPr>
          <w:color w:val="000000"/>
          <w:sz w:val="24"/>
        </w:rPr>
      </w:r>
    </w:p>
    <w:p>
      <w:pPr>
        <w:pStyle w:val="Normal"/>
        <w:ind w:firstLine="2160" w:end="0"/>
        <w:jc w:val="both"/>
        <w:rPr/>
      </w:pPr>
      <w:r>
        <w:rPr>
          <w:color w:val="000000"/>
          <w:sz w:val="24"/>
        </w:rPr>
        <w:t xml:space="preserve">(C)  Analysis for fuel sulfur content of the natural gas shall be conducted using one of the approved ASTM Test Methods for the measurement of sulfur in gaseous fuels, as referenced in 40 CFR, </w:t>
      </w:r>
      <w:r>
        <w:rPr>
          <w:rFonts w:eastAsia="WP TypographicSymbols" w:cs="WP TypographicSymbols" w:ascii="WP TypographicSymbols" w:hAnsi="WP TypographicSymbols"/>
          <w:color w:val="000000"/>
          <w:sz w:val="24"/>
        </w:rPr>
        <w:t>'</w:t>
      </w:r>
      <w:r>
        <w:rPr>
          <w:color w:val="000000"/>
          <w:sz w:val="24"/>
        </w:rPr>
        <w:t>60.335(d), or the Gas Processors Association (GPA) test method entitled “A Test for Hydrogen Sulfide and Carbon Dioxide in Natural Gas Using Length of Stain Tubes.”  The test methods are listed as follows:</w:t>
      </w:r>
    </w:p>
    <w:p>
      <w:pPr>
        <w:pStyle w:val="Normal"/>
        <w:rPr>
          <w:color w:val="000000"/>
          <w:sz w:val="24"/>
        </w:rPr>
      </w:pPr>
      <w:r>
        <w:rPr>
          <w:color w:val="000000"/>
          <w:sz w:val="24"/>
        </w:rPr>
      </w:r>
    </w:p>
    <w:p>
      <w:pPr>
        <w:pStyle w:val="Normal"/>
        <w:ind w:firstLine="2880" w:end="0"/>
        <w:rPr>
          <w:color w:val="000000"/>
          <w:sz w:val="24"/>
        </w:rPr>
      </w:pPr>
      <w:r>
        <w:rPr>
          <w:color w:val="000000"/>
          <w:sz w:val="24"/>
        </w:rPr>
        <w:t>(i)  ASTM D1072-80;</w:t>
      </w:r>
    </w:p>
    <w:p>
      <w:pPr>
        <w:pStyle w:val="Normal"/>
        <w:rPr>
          <w:color w:val="000000"/>
          <w:sz w:val="24"/>
        </w:rPr>
      </w:pPr>
      <w:r>
        <w:rPr>
          <w:color w:val="000000"/>
          <w:sz w:val="24"/>
        </w:rPr>
      </w:r>
    </w:p>
    <w:p>
      <w:pPr>
        <w:pStyle w:val="Normal"/>
        <w:ind w:firstLine="2880" w:end="0"/>
        <w:rPr>
          <w:color w:val="000000"/>
          <w:sz w:val="24"/>
        </w:rPr>
      </w:pPr>
      <w:r>
        <w:rPr>
          <w:color w:val="000000"/>
          <w:sz w:val="24"/>
        </w:rPr>
        <w:t>(ii)  ASTM D3031-81;</w:t>
      </w:r>
    </w:p>
    <w:p>
      <w:pPr>
        <w:pStyle w:val="Normal"/>
        <w:rPr>
          <w:color w:val="000000"/>
          <w:sz w:val="24"/>
        </w:rPr>
      </w:pPr>
      <w:r>
        <w:rPr>
          <w:color w:val="000000"/>
          <w:sz w:val="24"/>
        </w:rPr>
      </w:r>
    </w:p>
    <w:p>
      <w:pPr>
        <w:pStyle w:val="Normal"/>
        <w:ind w:firstLine="2880" w:end="0"/>
        <w:rPr>
          <w:color w:val="000000"/>
          <w:sz w:val="24"/>
        </w:rPr>
      </w:pPr>
      <w:r>
        <w:rPr>
          <w:color w:val="000000"/>
          <w:sz w:val="24"/>
        </w:rPr>
        <w:t>(iii)  ASTM D3246-81;</w:t>
      </w:r>
    </w:p>
    <w:p>
      <w:pPr>
        <w:pStyle w:val="Normal"/>
        <w:rPr>
          <w:color w:val="000000"/>
          <w:sz w:val="24"/>
        </w:rPr>
      </w:pPr>
      <w:r>
        <w:rPr>
          <w:color w:val="000000"/>
          <w:sz w:val="24"/>
        </w:rPr>
      </w:r>
    </w:p>
    <w:p>
      <w:pPr>
        <w:pStyle w:val="Normal"/>
        <w:ind w:firstLine="2880" w:end="0"/>
        <w:rPr>
          <w:color w:val="000000"/>
          <w:sz w:val="24"/>
        </w:rPr>
      </w:pPr>
      <w:r>
        <w:rPr>
          <w:color w:val="000000"/>
          <w:sz w:val="24"/>
        </w:rPr>
        <w:t>(iv)  ASTM D4084-82; or</w:t>
      </w:r>
    </w:p>
    <w:p>
      <w:pPr>
        <w:pStyle w:val="Normal"/>
        <w:rPr>
          <w:color w:val="000000"/>
          <w:sz w:val="24"/>
        </w:rPr>
      </w:pPr>
      <w:r>
        <w:rPr>
          <w:color w:val="000000"/>
          <w:sz w:val="24"/>
        </w:rPr>
      </w:r>
    </w:p>
    <w:p>
      <w:pPr>
        <w:pStyle w:val="Normal"/>
        <w:ind w:firstLine="2880" w:end="0"/>
        <w:rPr>
          <w:color w:val="000000"/>
          <w:sz w:val="24"/>
        </w:rPr>
      </w:pPr>
      <w:r>
        <w:rPr>
          <w:color w:val="000000"/>
          <w:sz w:val="24"/>
        </w:rPr>
        <w:t>(v)  GPA Standard 2377-86.</w:t>
      </w:r>
    </w:p>
    <w:p>
      <w:pPr>
        <w:pStyle w:val="Normal"/>
        <w:rPr>
          <w:color w:val="000000"/>
          <w:sz w:val="24"/>
        </w:rPr>
      </w:pPr>
      <w:r>
        <w:rPr>
          <w:color w:val="000000"/>
          <w:sz w:val="24"/>
        </w:rPr>
      </w:r>
    </w:p>
    <w:p>
      <w:pPr>
        <w:pStyle w:val="Normal"/>
        <w:ind w:firstLine="2160" w:end="0"/>
        <w:jc w:val="both"/>
        <w:rPr>
          <w:color w:val="000000"/>
          <w:sz w:val="24"/>
        </w:rPr>
      </w:pPr>
      <w:r>
        <w:rPr>
          <w:color w:val="000000"/>
          <w:sz w:val="24"/>
        </w:rPr>
        <w:t>(D)  The owner or operator of a gas turbine who is not currently utilizing an approved custom fuel monitoring schedule shall be required to initially sample the fuel supply daily for a period of two weeks to establish, after turbine startup, that the pipeline quality natural gas fuel supply is low in sulfur content.</w:t>
      </w:r>
    </w:p>
    <w:p>
      <w:pPr>
        <w:pStyle w:val="Normal"/>
        <w:rPr>
          <w:color w:val="000000"/>
          <w:sz w:val="24"/>
        </w:rPr>
      </w:pPr>
      <w:r>
        <w:rPr>
          <w:color w:val="000000"/>
          <w:sz w:val="24"/>
        </w:rPr>
      </w:r>
    </w:p>
    <w:p>
      <w:pPr>
        <w:pStyle w:val="Normal"/>
        <w:ind w:firstLine="2160" w:end="0"/>
        <w:jc w:val="both"/>
        <w:rPr/>
      </w:pPr>
      <w:r>
        <w:rPr>
          <w:color w:val="000000"/>
          <w:sz w:val="24"/>
        </w:rPr>
        <w:t xml:space="preserve">(E)  After the monitoring required in subparagraph (D) of this paragraph, sulfur monitoring shall be conducted twice monthly for six months.  If this monitoring shows little variability in the fuel sulfur content, and indicates consistent compliance with 40 CFR, </w:t>
      </w:r>
      <w:r>
        <w:rPr>
          <w:rFonts w:eastAsia="WP TypographicSymbols" w:cs="WP TypographicSymbols" w:ascii="WP TypographicSymbols" w:hAnsi="WP TypographicSymbols"/>
          <w:color w:val="000000"/>
          <w:sz w:val="24"/>
        </w:rPr>
        <w:t>'</w:t>
      </w:r>
      <w:r>
        <w:rPr>
          <w:color w:val="000000"/>
          <w:sz w:val="24"/>
        </w:rPr>
        <w:t>60.333(b), then sulfur monitoring shall be conducted once per quarter for six quarters.</w:t>
      </w:r>
    </w:p>
    <w:p>
      <w:pPr>
        <w:pStyle w:val="Normal"/>
        <w:rPr>
          <w:color w:val="000000"/>
          <w:sz w:val="24"/>
        </w:rPr>
      </w:pPr>
      <w:r>
        <w:rPr>
          <w:color w:val="000000"/>
          <w:sz w:val="24"/>
        </w:rPr>
      </w:r>
    </w:p>
    <w:p>
      <w:pPr>
        <w:pStyle w:val="Normal"/>
        <w:ind w:firstLine="2160" w:end="0"/>
        <w:jc w:val="both"/>
        <w:rPr/>
      </w:pPr>
      <w:r>
        <w:rPr>
          <w:color w:val="000000"/>
          <w:sz w:val="24"/>
        </w:rPr>
        <w:t xml:space="preserve">(F)  If after the monitoring required in subparagraph (E) of this paragraph, or herein, the sulfur content of the fuel shows little variability and, calculated as sulfur dioxide, represents consistent compliance with the sulfur dioxide emission limits specified under 40 CFR, </w:t>
      </w:r>
      <w:r>
        <w:rPr>
          <w:rFonts w:eastAsia="WP TypographicSymbols" w:cs="WP TypographicSymbols" w:ascii="WP TypographicSymbols" w:hAnsi="WP TypographicSymbols"/>
          <w:color w:val="000000"/>
          <w:sz w:val="24"/>
        </w:rPr>
        <w:t>'</w:t>
      </w:r>
      <w:r>
        <w:rPr>
          <w:color w:val="000000"/>
          <w:sz w:val="24"/>
        </w:rPr>
        <w:t>60.333, sample analysis shall be conducted twice per annum.  This monitoring shall be conducted during the first and third quarters of each calendar year.</w:t>
      </w:r>
    </w:p>
    <w:p>
      <w:pPr>
        <w:pStyle w:val="Normal"/>
        <w:rPr>
          <w:color w:val="000000"/>
          <w:sz w:val="24"/>
        </w:rPr>
      </w:pPr>
      <w:r>
        <w:rPr>
          <w:color w:val="000000"/>
          <w:sz w:val="24"/>
        </w:rPr>
      </w:r>
    </w:p>
    <w:p>
      <w:pPr>
        <w:pStyle w:val="Normal"/>
        <w:ind w:firstLine="2160" w:end="0"/>
        <w:jc w:val="both"/>
        <w:rPr/>
      </w:pPr>
      <w:r>
        <w:rPr>
          <w:color w:val="000000"/>
          <w:sz w:val="24"/>
        </w:rPr>
        <w:t xml:space="preserve"> </w:t>
      </w:r>
      <w:r>
        <w:rPr>
          <w:color w:val="000000"/>
          <w:sz w:val="24"/>
        </w:rPr>
        <w:t xml:space="preserve">(G)  Should any sulfur analysis as required in subparagraphs (E) or (F) of this paragraph indicate noncompliance with 40 CFR, </w:t>
      </w:r>
      <w:r>
        <w:rPr>
          <w:rFonts w:eastAsia="WP TypographicSymbols" w:cs="WP TypographicSymbols" w:ascii="WP TypographicSymbols" w:hAnsi="WP TypographicSymbols"/>
          <w:color w:val="000000"/>
          <w:sz w:val="24"/>
        </w:rPr>
        <w:t>'</w:t>
      </w:r>
      <w:r>
        <w:rPr>
          <w:color w:val="000000"/>
          <w:sz w:val="24"/>
        </w:rPr>
        <w:t>60.333, the owner or operator shall notify the commission within two weeks of such excess emissions.  The commission will then reexamine the custom schedule.  Sulfur monitoring shall be conducted weekly during the interim period when this custom schedule is being re-examined.</w:t>
      </w:r>
    </w:p>
    <w:p>
      <w:pPr>
        <w:pStyle w:val="Normal"/>
        <w:rPr>
          <w:color w:val="000000"/>
          <w:sz w:val="24"/>
        </w:rPr>
      </w:pPr>
      <w:r>
        <w:rPr>
          <w:color w:val="000000"/>
          <w:sz w:val="24"/>
        </w:rPr>
      </w:r>
    </w:p>
    <w:p>
      <w:pPr>
        <w:pStyle w:val="Normal"/>
        <w:ind w:firstLine="2160" w:end="0"/>
        <w:jc w:val="both"/>
        <w:rPr>
          <w:color w:val="000000"/>
          <w:sz w:val="24"/>
        </w:rPr>
      </w:pPr>
      <w:r>
        <w:rPr>
          <w:color w:val="000000"/>
          <w:sz w:val="24"/>
        </w:rPr>
        <w:t>(H)  If there is a change in fuel supply (supplier), the owner or operator shall be required to sample the fuel daily for a period of two weeks to re-establish for the record that the fuel supply is low in sulfur content.  If the fuel suppliers low sulfur content is re-established, then the custom fuel monitoring schedule can be resumed.</w:t>
      </w:r>
    </w:p>
    <w:p>
      <w:pPr>
        <w:pStyle w:val="Normal"/>
        <w:rPr>
          <w:color w:val="000000"/>
          <w:sz w:val="24"/>
        </w:rPr>
      </w:pPr>
      <w:r>
        <w:rPr>
          <w:color w:val="000000"/>
          <w:sz w:val="24"/>
        </w:rPr>
      </w:r>
    </w:p>
    <w:p>
      <w:pPr>
        <w:pStyle w:val="Normal"/>
        <w:ind w:firstLine="2160" w:end="0"/>
        <w:jc w:val="both"/>
        <w:rPr>
          <w:color w:val="000000"/>
          <w:sz w:val="24"/>
        </w:rPr>
      </w:pPr>
      <w:r>
        <w:rPr>
          <w:color w:val="000000"/>
          <w:sz w:val="24"/>
        </w:rPr>
        <w:t>(I)  Stationary gas turbines that use the same supply of pipeline quality natural gas to fuel multiple gas turbines may monitor the fuel sulfur content at a single common location.</w:t>
      </w:r>
      <w:r>
        <w:br w:type="page"/>
      </w:r>
    </w:p>
    <w:p>
      <w:pPr>
        <w:pStyle w:val="Normal"/>
        <w:jc w:val="center"/>
        <w:rPr>
          <w:color w:val="000000"/>
          <w:sz w:val="24"/>
        </w:rPr>
      </w:pPr>
      <w:r>
        <w:rPr>
          <w:color w:val="000000"/>
          <w:sz w:val="24"/>
        </w:rPr>
      </w:r>
    </w:p>
    <w:p>
      <w:pPr>
        <w:pStyle w:val="Normal"/>
        <w:jc w:val="center"/>
        <w:rPr>
          <w:color w:val="000000"/>
          <w:sz w:val="24"/>
        </w:rPr>
      </w:pPr>
      <w:r>
        <w:rPr>
          <w:color w:val="000000"/>
          <w:sz w:val="24"/>
        </w:rPr>
      </w:r>
    </w:p>
    <w:p>
      <w:pPr>
        <w:pStyle w:val="Normal"/>
        <w:jc w:val="center"/>
        <w:rPr>
          <w:color w:val="000000"/>
          <w:sz w:val="24"/>
        </w:rPr>
      </w:pPr>
      <w:r>
        <w:rPr>
          <w:color w:val="000000"/>
          <w:sz w:val="24"/>
        </w:rPr>
      </w:r>
    </w:p>
    <w:p>
      <w:pPr>
        <w:pStyle w:val="Normal"/>
        <w:jc w:val="center"/>
        <w:rPr>
          <w:color w:val="000000"/>
          <w:sz w:val="24"/>
        </w:rPr>
      </w:pPr>
      <w:r>
        <w:rPr>
          <w:color w:val="000000"/>
          <w:sz w:val="24"/>
        </w:rPr>
      </w:r>
    </w:p>
    <w:p>
      <w:pPr>
        <w:pStyle w:val="Normal"/>
        <w:jc w:val="center"/>
        <w:rPr>
          <w:color w:val="000000"/>
          <w:sz w:val="24"/>
        </w:rPr>
      </w:pPr>
      <w:r>
        <w:rPr>
          <w:color w:val="000000"/>
          <w:sz w:val="24"/>
        </w:rPr>
      </w:r>
    </w:p>
    <w:p>
      <w:pPr>
        <w:pStyle w:val="Normal"/>
        <w:jc w:val="center"/>
        <w:rPr>
          <w:color w:val="000000"/>
          <w:sz w:val="24"/>
        </w:rPr>
      </w:pPr>
      <w:r>
        <w:rPr>
          <w:color w:val="000000"/>
          <w:sz w:val="24"/>
        </w:rPr>
      </w:r>
    </w:p>
    <w:p>
      <w:pPr>
        <w:pStyle w:val="Normal"/>
        <w:jc w:val="center"/>
        <w:rPr>
          <w:color w:val="000000"/>
          <w:sz w:val="24"/>
        </w:rPr>
      </w:pPr>
      <w:r>
        <w:rPr>
          <w:color w:val="000000"/>
          <w:sz w:val="24"/>
        </w:rPr>
      </w:r>
    </w:p>
    <w:p>
      <w:pPr>
        <w:pStyle w:val="Normal"/>
        <w:jc w:val="center"/>
        <w:rPr>
          <w:color w:val="000000"/>
          <w:sz w:val="24"/>
        </w:rPr>
      </w:pPr>
      <w:r>
        <w:rPr>
          <w:color w:val="000000"/>
          <w:sz w:val="24"/>
        </w:rPr>
      </w:r>
    </w:p>
    <w:p>
      <w:pPr>
        <w:pStyle w:val="Normal"/>
        <w:jc w:val="center"/>
        <w:rPr>
          <w:color w:val="000000"/>
          <w:sz w:val="24"/>
        </w:rPr>
      </w:pPr>
      <w:r>
        <w:rPr>
          <w:color w:val="000000"/>
          <w:sz w:val="24"/>
        </w:rPr>
      </w:r>
    </w:p>
    <w:p>
      <w:pPr>
        <w:pStyle w:val="Normal"/>
        <w:jc w:val="center"/>
        <w:rPr>
          <w:color w:val="000000"/>
          <w:sz w:val="24"/>
        </w:rPr>
      </w:pPr>
      <w:r>
        <w:rPr>
          <w:color w:val="000000"/>
          <w:sz w:val="24"/>
        </w:rPr>
      </w:r>
    </w:p>
    <w:p>
      <w:pPr>
        <w:pStyle w:val="Normal"/>
        <w:jc w:val="center"/>
        <w:rPr>
          <w:color w:val="000000"/>
          <w:sz w:val="24"/>
        </w:rPr>
      </w:pPr>
      <w:r>
        <w:rPr>
          <w:color w:val="000000"/>
          <w:sz w:val="24"/>
        </w:rPr>
      </w:r>
    </w:p>
    <w:p>
      <w:pPr>
        <w:pStyle w:val="Normal"/>
        <w:jc w:val="center"/>
        <w:rPr>
          <w:color w:val="000000"/>
          <w:sz w:val="24"/>
        </w:rPr>
      </w:pPr>
      <w:r>
        <w:rPr>
          <w:color w:val="000000"/>
          <w:sz w:val="24"/>
        </w:rPr>
      </w:r>
    </w:p>
    <w:p>
      <w:pPr>
        <w:pStyle w:val="Normal"/>
        <w:jc w:val="center"/>
        <w:rPr>
          <w:color w:val="000000"/>
          <w:sz w:val="24"/>
        </w:rPr>
      </w:pPr>
      <w:r>
        <w:rPr>
          <w:color w:val="000000"/>
          <w:sz w:val="24"/>
        </w:rPr>
      </w:r>
    </w:p>
    <w:p>
      <w:pPr>
        <w:pStyle w:val="Normal"/>
        <w:jc w:val="center"/>
        <w:rPr>
          <w:color w:val="000000"/>
          <w:sz w:val="24"/>
        </w:rPr>
      </w:pPr>
      <w:r>
        <w:rPr>
          <w:color w:val="000000"/>
          <w:sz w:val="24"/>
        </w:rPr>
      </w:r>
    </w:p>
    <w:p>
      <w:pPr>
        <w:pStyle w:val="Normal"/>
        <w:jc w:val="center"/>
        <w:rPr>
          <w:color w:val="000000"/>
          <w:sz w:val="24"/>
        </w:rPr>
      </w:pPr>
      <w:r>
        <w:rPr>
          <w:color w:val="000000"/>
          <w:sz w:val="24"/>
        </w:rPr>
      </w:r>
    </w:p>
    <w:p>
      <w:pPr>
        <w:pStyle w:val="Normal"/>
        <w:jc w:val="center"/>
        <w:rPr>
          <w:color w:val="000000"/>
          <w:sz w:val="24"/>
        </w:rPr>
      </w:pPr>
      <w:r>
        <w:rPr>
          <w:color w:val="000000"/>
          <w:sz w:val="24"/>
        </w:rPr>
      </w:r>
    </w:p>
    <w:p>
      <w:pPr>
        <w:pStyle w:val="Normal"/>
        <w:jc w:val="center"/>
        <w:rPr>
          <w:color w:val="000000"/>
          <w:sz w:val="24"/>
        </w:rPr>
      </w:pPr>
      <w:r>
        <w:rPr>
          <w:color w:val="000000"/>
          <w:sz w:val="24"/>
        </w:rPr>
      </w:r>
    </w:p>
    <w:p>
      <w:pPr>
        <w:pStyle w:val="Normal"/>
        <w:jc w:val="center"/>
        <w:rPr>
          <w:color w:val="000000"/>
          <w:sz w:val="24"/>
        </w:rPr>
      </w:pPr>
      <w:r>
        <w:rPr>
          <w:color w:val="000000"/>
          <w:sz w:val="24"/>
        </w:rPr>
      </w:r>
    </w:p>
    <w:p>
      <w:pPr>
        <w:pStyle w:val="Normal"/>
        <w:jc w:val="center"/>
        <w:rPr>
          <w:color w:val="000000"/>
          <w:sz w:val="24"/>
        </w:rPr>
      </w:pPr>
      <w:r>
        <w:rPr>
          <w:color w:val="000000"/>
          <w:sz w:val="24"/>
        </w:rPr>
        <w:t>Appendix C</w:t>
      </w:r>
    </w:p>
    <w:p>
      <w:pPr>
        <w:pStyle w:val="Normal"/>
        <w:jc w:val="center"/>
        <w:rPr>
          <w:color w:val="000000"/>
          <w:sz w:val="24"/>
        </w:rPr>
      </w:pPr>
      <w:r>
        <w:rPr>
          <w:color w:val="000000"/>
          <w:sz w:val="24"/>
        </w:rPr>
      </w:r>
    </w:p>
    <w:p>
      <w:pPr>
        <w:pStyle w:val="Normal"/>
        <w:jc w:val="center"/>
        <w:rPr>
          <w:color w:val="000000"/>
          <w:sz w:val="24"/>
        </w:rPr>
      </w:pPr>
      <w:r>
        <w:rPr>
          <w:color w:val="000000"/>
          <w:sz w:val="24"/>
        </w:rPr>
        <w:t>General Electric LM2500 Data</w:t>
      </w:r>
      <w:r>
        <w:br w:type="page"/>
      </w:r>
    </w:p>
    <w:p>
      <w:pPr>
        <w:pStyle w:val="Normal"/>
        <w:jc w:val="center"/>
        <w:rPr>
          <w:color w:val="000000"/>
          <w:sz w:val="24"/>
        </w:rPr>
      </w:pPr>
      <w:r>
        <w:rPr>
          <w:color w:val="000000"/>
          <w:sz w:val="24"/>
        </w:rPr>
      </w:r>
    </w:p>
    <w:p>
      <w:pPr>
        <w:pStyle w:val="Normal"/>
        <w:jc w:val="center"/>
        <w:rPr>
          <w:color w:val="000000"/>
          <w:sz w:val="24"/>
        </w:rPr>
      </w:pPr>
      <w:r>
        <w:rPr>
          <w:color w:val="000000"/>
          <w:sz w:val="24"/>
        </w:rPr>
      </w:r>
    </w:p>
    <w:p>
      <w:pPr>
        <w:pStyle w:val="Normal"/>
        <w:jc w:val="center"/>
        <w:rPr>
          <w:color w:val="000000"/>
          <w:sz w:val="24"/>
        </w:rPr>
      </w:pPr>
      <w:r>
        <w:rPr>
          <w:color w:val="000000"/>
          <w:sz w:val="24"/>
        </w:rPr>
      </w:r>
    </w:p>
    <w:p>
      <w:pPr>
        <w:pStyle w:val="Normal"/>
        <w:jc w:val="center"/>
        <w:rPr>
          <w:color w:val="000000"/>
          <w:sz w:val="24"/>
        </w:rPr>
      </w:pPr>
      <w:r>
        <w:rPr>
          <w:color w:val="000000"/>
          <w:sz w:val="24"/>
        </w:rPr>
      </w:r>
    </w:p>
    <w:p>
      <w:pPr>
        <w:pStyle w:val="Normal"/>
        <w:jc w:val="center"/>
        <w:rPr>
          <w:color w:val="000000"/>
          <w:sz w:val="24"/>
        </w:rPr>
      </w:pPr>
      <w:r>
        <w:rPr>
          <w:color w:val="000000"/>
          <w:sz w:val="24"/>
        </w:rPr>
      </w:r>
    </w:p>
    <w:p>
      <w:pPr>
        <w:pStyle w:val="Normal"/>
        <w:jc w:val="center"/>
        <w:rPr>
          <w:color w:val="000000"/>
          <w:sz w:val="24"/>
        </w:rPr>
      </w:pPr>
      <w:r>
        <w:rPr>
          <w:color w:val="000000"/>
          <w:sz w:val="24"/>
        </w:rPr>
      </w:r>
    </w:p>
    <w:p>
      <w:pPr>
        <w:pStyle w:val="Normal"/>
        <w:jc w:val="center"/>
        <w:rPr>
          <w:color w:val="000000"/>
          <w:sz w:val="24"/>
        </w:rPr>
      </w:pPr>
      <w:r>
        <w:rPr>
          <w:color w:val="000000"/>
          <w:sz w:val="24"/>
        </w:rPr>
      </w:r>
    </w:p>
    <w:p>
      <w:pPr>
        <w:pStyle w:val="Normal"/>
        <w:jc w:val="center"/>
        <w:rPr>
          <w:color w:val="000000"/>
          <w:sz w:val="24"/>
        </w:rPr>
      </w:pPr>
      <w:r>
        <w:rPr>
          <w:color w:val="000000"/>
          <w:sz w:val="24"/>
        </w:rPr>
      </w:r>
    </w:p>
    <w:p>
      <w:pPr>
        <w:pStyle w:val="Normal"/>
        <w:jc w:val="center"/>
        <w:rPr>
          <w:color w:val="000000"/>
          <w:sz w:val="24"/>
        </w:rPr>
      </w:pPr>
      <w:r>
        <w:rPr>
          <w:color w:val="000000"/>
          <w:sz w:val="24"/>
        </w:rPr>
      </w:r>
    </w:p>
    <w:p>
      <w:pPr>
        <w:pStyle w:val="Normal"/>
        <w:jc w:val="center"/>
        <w:rPr>
          <w:color w:val="000000"/>
          <w:sz w:val="24"/>
        </w:rPr>
      </w:pPr>
      <w:r>
        <w:rPr>
          <w:color w:val="000000"/>
          <w:sz w:val="24"/>
        </w:rPr>
      </w:r>
    </w:p>
    <w:p>
      <w:pPr>
        <w:pStyle w:val="Normal"/>
        <w:jc w:val="center"/>
        <w:rPr>
          <w:color w:val="000000"/>
          <w:sz w:val="24"/>
        </w:rPr>
      </w:pPr>
      <w:r>
        <w:rPr>
          <w:color w:val="000000"/>
          <w:sz w:val="24"/>
        </w:rPr>
      </w:r>
    </w:p>
    <w:p>
      <w:pPr>
        <w:pStyle w:val="Normal"/>
        <w:jc w:val="center"/>
        <w:rPr>
          <w:color w:val="000000"/>
          <w:sz w:val="24"/>
        </w:rPr>
      </w:pPr>
      <w:r>
        <w:rPr>
          <w:color w:val="000000"/>
          <w:sz w:val="24"/>
        </w:rPr>
      </w:r>
    </w:p>
    <w:p>
      <w:pPr>
        <w:pStyle w:val="Normal"/>
        <w:jc w:val="center"/>
        <w:rPr>
          <w:color w:val="000000"/>
          <w:sz w:val="24"/>
        </w:rPr>
      </w:pPr>
      <w:r>
        <w:rPr>
          <w:color w:val="000000"/>
          <w:sz w:val="24"/>
        </w:rPr>
      </w:r>
    </w:p>
    <w:p>
      <w:pPr>
        <w:pStyle w:val="Normal"/>
        <w:jc w:val="center"/>
        <w:rPr>
          <w:color w:val="000000"/>
          <w:sz w:val="24"/>
        </w:rPr>
      </w:pPr>
      <w:r>
        <w:rPr>
          <w:color w:val="000000"/>
          <w:sz w:val="24"/>
        </w:rPr>
      </w:r>
    </w:p>
    <w:p>
      <w:pPr>
        <w:pStyle w:val="Normal"/>
        <w:jc w:val="center"/>
        <w:rPr>
          <w:color w:val="000000"/>
          <w:sz w:val="24"/>
        </w:rPr>
      </w:pPr>
      <w:r>
        <w:rPr>
          <w:color w:val="000000"/>
          <w:sz w:val="24"/>
        </w:rPr>
      </w:r>
    </w:p>
    <w:p>
      <w:pPr>
        <w:pStyle w:val="Normal"/>
        <w:jc w:val="center"/>
        <w:rPr>
          <w:color w:val="000000"/>
          <w:sz w:val="24"/>
        </w:rPr>
      </w:pPr>
      <w:r>
        <w:rPr>
          <w:color w:val="000000"/>
          <w:sz w:val="24"/>
        </w:rPr>
      </w:r>
    </w:p>
    <w:p>
      <w:pPr>
        <w:pStyle w:val="Normal"/>
        <w:jc w:val="center"/>
        <w:rPr>
          <w:color w:val="000000"/>
          <w:sz w:val="24"/>
        </w:rPr>
      </w:pPr>
      <w:r>
        <w:rPr>
          <w:color w:val="000000"/>
          <w:sz w:val="24"/>
        </w:rPr>
      </w:r>
    </w:p>
    <w:p>
      <w:pPr>
        <w:pStyle w:val="Normal"/>
        <w:jc w:val="center"/>
        <w:rPr>
          <w:color w:val="000000"/>
          <w:sz w:val="24"/>
        </w:rPr>
      </w:pPr>
      <w:r>
        <w:rPr>
          <w:color w:val="000000"/>
          <w:sz w:val="24"/>
        </w:rPr>
      </w:r>
    </w:p>
    <w:p>
      <w:pPr>
        <w:pStyle w:val="Normal"/>
        <w:jc w:val="center"/>
        <w:rPr>
          <w:color w:val="000000"/>
          <w:sz w:val="24"/>
        </w:rPr>
      </w:pPr>
      <w:r>
        <w:rPr>
          <w:color w:val="000000"/>
          <w:sz w:val="24"/>
        </w:rPr>
        <w:t>Appendix D</w:t>
      </w:r>
    </w:p>
    <w:p>
      <w:pPr>
        <w:pStyle w:val="Normal"/>
        <w:jc w:val="center"/>
        <w:rPr>
          <w:color w:val="000000"/>
          <w:sz w:val="24"/>
        </w:rPr>
      </w:pPr>
      <w:r>
        <w:rPr>
          <w:color w:val="000000"/>
          <w:sz w:val="24"/>
        </w:rPr>
      </w:r>
    </w:p>
    <w:p>
      <w:pPr>
        <w:pStyle w:val="Normal"/>
        <w:jc w:val="center"/>
        <w:rPr>
          <w:color w:val="000000"/>
          <w:sz w:val="24"/>
        </w:rPr>
      </w:pPr>
      <w:r>
        <w:rPr>
          <w:sz w:val="24"/>
        </w:rPr>
        <w:t>Area Map, Process Flow Diagram, and Plot Plan</w:t>
      </w:r>
    </w:p>
    <w:p>
      <w:pPr>
        <w:pStyle w:val="Normal"/>
        <w:ind w:firstLine="2160" w:end="0"/>
        <w:jc w:val="both"/>
        <w:rPr>
          <w:color w:val="000000"/>
          <w:sz w:val="24"/>
        </w:rPr>
      </w:pPr>
      <w:r>
        <w:rPr>
          <w:color w:val="000000"/>
          <w:sz w:val="24"/>
        </w:rPr>
      </w:r>
    </w:p>
    <w:p>
      <w:pPr>
        <w:pStyle w:val="Normal"/>
        <w:ind w:firstLine="2160" w:end="0"/>
        <w:jc w:val="both"/>
        <w:rPr>
          <w:color w:val="000000"/>
          <w:sz w:val="24"/>
        </w:rPr>
      </w:pPr>
      <w:r>
        <w:rPr>
          <w:color w:val="000000"/>
          <w:sz w:val="24"/>
        </w:rPr>
      </w:r>
    </w:p>
    <w:p>
      <w:pPr>
        <w:pStyle w:val="Normal"/>
        <w:ind w:firstLine="2160" w:end="0"/>
        <w:jc w:val="both"/>
        <w:rPr>
          <w:color w:val="000000"/>
          <w:sz w:val="24"/>
        </w:rPr>
      </w:pPr>
      <w:r>
        <w:rPr>
          <w:color w:val="000000"/>
          <w:sz w:val="24"/>
        </w:rPr>
      </w:r>
    </w:p>
    <w:p>
      <w:pPr>
        <w:pStyle w:val="Normal"/>
        <w:ind w:firstLine="2160" w:end="0"/>
        <w:jc w:val="both"/>
        <w:rPr>
          <w:color w:val="000000"/>
          <w:sz w:val="24"/>
        </w:rPr>
      </w:pPr>
      <w:r>
        <w:rPr>
          <w:color w:val="000000"/>
          <w:sz w:val="24"/>
        </w:rPr>
      </w:r>
    </w:p>
    <w:p>
      <w:pPr>
        <w:pStyle w:val="Normal"/>
        <w:ind w:firstLine="2160" w:end="0"/>
        <w:jc w:val="both"/>
        <w:rPr>
          <w:color w:val="000000"/>
          <w:sz w:val="24"/>
        </w:rPr>
      </w:pPr>
      <w:r>
        <w:rPr>
          <w:color w:val="000000"/>
          <w:sz w:val="24"/>
        </w:rPr>
      </w:r>
    </w:p>
    <w:p>
      <w:pPr>
        <w:pStyle w:val="Normal"/>
        <w:ind w:firstLine="2160" w:end="0"/>
        <w:jc w:val="both"/>
        <w:rPr>
          <w:color w:val="000000"/>
          <w:sz w:val="24"/>
        </w:rPr>
      </w:pPr>
      <w:r>
        <w:rPr>
          <w:color w:val="000000"/>
          <w:sz w:val="24"/>
        </w:rPr>
      </w:r>
    </w:p>
    <w:p>
      <w:pPr>
        <w:pStyle w:val="Normal"/>
        <w:ind w:firstLine="2160" w:end="0"/>
        <w:jc w:val="both"/>
        <w:rPr>
          <w:color w:val="000000"/>
          <w:sz w:val="24"/>
        </w:rPr>
      </w:pPr>
      <w:r>
        <w:rPr>
          <w:color w:val="000000"/>
          <w:sz w:val="24"/>
        </w:rPr>
      </w:r>
    </w:p>
    <w:p>
      <w:pPr>
        <w:pStyle w:val="Normal"/>
        <w:ind w:firstLine="2160" w:end="0"/>
        <w:jc w:val="both"/>
        <w:rPr>
          <w:color w:val="000000"/>
          <w:sz w:val="24"/>
        </w:rPr>
      </w:pPr>
      <w:r>
        <w:rPr>
          <w:color w:val="000000"/>
          <w:sz w:val="24"/>
        </w:rPr>
      </w:r>
    </w:p>
    <w:p>
      <w:pPr>
        <w:pStyle w:val="Normal"/>
        <w:ind w:firstLine="2160" w:end="0"/>
        <w:jc w:val="both"/>
        <w:rPr>
          <w:color w:val="000000"/>
          <w:sz w:val="24"/>
        </w:rPr>
      </w:pPr>
      <w:r>
        <w:rPr>
          <w:color w:val="000000"/>
          <w:sz w:val="24"/>
        </w:rPr>
      </w:r>
    </w:p>
    <w:p>
      <w:pPr>
        <w:pStyle w:val="Normal"/>
        <w:ind w:firstLine="2160" w:end="0"/>
        <w:jc w:val="both"/>
        <w:rPr>
          <w:color w:val="000000"/>
          <w:sz w:val="24"/>
        </w:rPr>
      </w:pPr>
      <w:r>
        <w:rPr>
          <w:color w:val="000000"/>
          <w:sz w:val="24"/>
        </w:rPr>
      </w:r>
    </w:p>
    <w:p>
      <w:pPr>
        <w:pStyle w:val="Normal"/>
        <w:ind w:firstLine="2160" w:end="0"/>
        <w:jc w:val="both"/>
        <w:rPr>
          <w:color w:val="000000"/>
          <w:sz w:val="24"/>
        </w:rPr>
      </w:pPr>
      <w:r>
        <w:rPr>
          <w:color w:val="000000"/>
          <w:sz w:val="24"/>
        </w:rPr>
      </w:r>
    </w:p>
    <w:p>
      <w:pPr>
        <w:pStyle w:val="Normal"/>
        <w:ind w:firstLine="2160" w:end="0"/>
        <w:jc w:val="both"/>
        <w:rPr>
          <w:color w:val="000000"/>
          <w:sz w:val="24"/>
        </w:rPr>
      </w:pPr>
      <w:r>
        <w:rPr>
          <w:color w:val="000000"/>
          <w:sz w:val="24"/>
        </w:rPr>
      </w:r>
    </w:p>
    <w:p>
      <w:pPr>
        <w:pStyle w:val="Normal"/>
        <w:ind w:firstLine="2160" w:end="0"/>
        <w:jc w:val="both"/>
        <w:rPr>
          <w:color w:val="000000"/>
          <w:sz w:val="24"/>
        </w:rPr>
      </w:pPr>
      <w:r>
        <w:rPr>
          <w:color w:val="000000"/>
          <w:sz w:val="24"/>
        </w:rPr>
      </w:r>
    </w:p>
    <w:p>
      <w:pPr>
        <w:pStyle w:val="Normal"/>
        <w:ind w:firstLine="2160" w:end="0"/>
        <w:jc w:val="both"/>
        <w:rPr>
          <w:color w:val="000000"/>
          <w:sz w:val="24"/>
        </w:rPr>
      </w:pPr>
      <w:r>
        <w:rPr>
          <w:color w:val="000000"/>
          <w:sz w:val="24"/>
        </w:rPr>
      </w:r>
    </w:p>
    <w:p>
      <w:pPr>
        <w:pStyle w:val="Normal"/>
        <w:ind w:firstLine="2160" w:end="0"/>
        <w:jc w:val="both"/>
        <w:rPr>
          <w:color w:val="000000"/>
          <w:sz w:val="24"/>
        </w:rPr>
      </w:pPr>
      <w:r>
        <w:rPr>
          <w:color w:val="000000"/>
          <w:sz w:val="24"/>
        </w:rPr>
      </w:r>
    </w:p>
    <w:p>
      <w:pPr>
        <w:pStyle w:val="Normal"/>
        <w:ind w:firstLine="2160" w:end="0"/>
        <w:jc w:val="both"/>
        <w:rPr>
          <w:color w:val="000000"/>
          <w:sz w:val="24"/>
        </w:rPr>
      </w:pPr>
      <w:r>
        <w:rPr>
          <w:color w:val="000000"/>
          <w:sz w:val="24"/>
        </w:rPr>
      </w:r>
    </w:p>
    <w:p>
      <w:pPr>
        <w:pStyle w:val="Normal"/>
        <w:ind w:firstLine="2160" w:end="0"/>
        <w:jc w:val="both"/>
        <w:rPr>
          <w:color w:val="000000"/>
          <w:sz w:val="24"/>
        </w:rPr>
      </w:pPr>
      <w:r>
        <w:rPr>
          <w:color w:val="000000"/>
          <w:sz w:val="24"/>
        </w:rPr>
      </w:r>
    </w:p>
    <w:p>
      <w:pPr>
        <w:pStyle w:val="Normal"/>
        <w:ind w:firstLine="2160" w:end="0"/>
        <w:jc w:val="both"/>
        <w:rPr>
          <w:color w:val="000000"/>
          <w:sz w:val="24"/>
        </w:rPr>
      </w:pPr>
      <w:r>
        <w:rPr>
          <w:color w:val="000000"/>
          <w:sz w:val="24"/>
        </w:rPr>
      </w:r>
    </w:p>
    <w:p>
      <w:pPr>
        <w:pStyle w:val="Normal"/>
        <w:ind w:firstLine="2160" w:end="0"/>
        <w:jc w:val="both"/>
        <w:rPr>
          <w:color w:val="000000"/>
          <w:sz w:val="24"/>
        </w:rPr>
      </w:pPr>
      <w:r>
        <w:rPr>
          <w:color w:val="000000"/>
          <w:sz w:val="24"/>
        </w:rPr>
      </w:r>
    </w:p>
    <w:p>
      <w:pPr>
        <w:pStyle w:val="Normal"/>
        <w:ind w:firstLine="2160" w:end="0"/>
        <w:jc w:val="both"/>
        <w:rPr>
          <w:color w:val="000000"/>
          <w:sz w:val="24"/>
        </w:rPr>
      </w:pPr>
      <w:r>
        <w:rPr>
          <w:color w:val="000000"/>
          <w:sz w:val="24"/>
        </w:rPr>
      </w:r>
    </w:p>
    <w:p>
      <w:pPr>
        <w:pStyle w:val="Normal"/>
        <w:ind w:firstLine="2160" w:end="0"/>
        <w:jc w:val="both"/>
        <w:rPr>
          <w:color w:val="000000"/>
          <w:sz w:val="24"/>
        </w:rPr>
      </w:pPr>
      <w:r>
        <w:rPr>
          <w:color w:val="000000"/>
          <w:sz w:val="24"/>
        </w:rPr>
      </w:r>
    </w:p>
    <w:p>
      <w:pPr>
        <w:pStyle w:val="Normal"/>
        <w:ind w:firstLine="2160" w:end="0"/>
        <w:jc w:val="both"/>
        <w:rPr>
          <w:color w:val="000000"/>
          <w:sz w:val="24"/>
        </w:rPr>
      </w:pPr>
      <w:r>
        <w:rPr>
          <w:color w:val="000000"/>
          <w:sz w:val="24"/>
        </w:rPr>
      </w:r>
    </w:p>
    <w:p>
      <w:pPr>
        <w:pStyle w:val="Normal"/>
        <w:ind w:firstLine="2160" w:end="0"/>
        <w:jc w:val="both"/>
        <w:rPr>
          <w:color w:val="000000"/>
          <w:sz w:val="24"/>
        </w:rPr>
      </w:pPr>
      <w:r>
        <w:rPr>
          <w:color w:val="000000"/>
          <w:sz w:val="24"/>
        </w:rPr>
      </w:r>
    </w:p>
    <w:p>
      <w:pPr>
        <w:pStyle w:val="Normal"/>
        <w:ind w:firstLine="2160" w:end="0"/>
        <w:jc w:val="both"/>
        <w:rPr>
          <w:color w:val="000000"/>
          <w:sz w:val="24"/>
        </w:rPr>
      </w:pPr>
      <w:r>
        <w:rPr>
          <w:color w:val="000000"/>
          <w:sz w:val="24"/>
        </w:rPr>
      </w:r>
    </w:p>
    <w:p>
      <w:pPr>
        <w:pStyle w:val="Normal"/>
        <w:ind w:firstLine="2160" w:end="0"/>
        <w:jc w:val="both"/>
        <w:rPr>
          <w:color w:val="000000"/>
          <w:sz w:val="24"/>
        </w:rPr>
      </w:pPr>
      <w:r>
        <w:rPr>
          <w:color w:val="000000"/>
          <w:sz w:val="24"/>
        </w:rPr>
      </w:r>
    </w:p>
    <w:p>
      <w:pPr>
        <w:pStyle w:val="Normal"/>
        <w:ind w:firstLine="2160" w:end="0"/>
        <w:jc w:val="both"/>
        <w:rPr>
          <w:color w:val="000000"/>
          <w:sz w:val="24"/>
        </w:rPr>
      </w:pPr>
      <w:r>
        <w:rPr>
          <w:color w:val="000000"/>
          <w:sz w:val="24"/>
        </w:rPr>
      </w:r>
    </w:p>
    <w:p>
      <w:pPr>
        <w:pStyle w:val="Normal"/>
        <w:ind w:firstLine="2160" w:end="0"/>
        <w:jc w:val="both"/>
        <w:rPr>
          <w:color w:val="000000"/>
          <w:sz w:val="24"/>
        </w:rPr>
      </w:pPr>
      <w:r>
        <w:rPr>
          <w:color w:val="000000"/>
          <w:sz w:val="24"/>
        </w:rPr>
      </w:r>
    </w:p>
    <w:p>
      <w:pPr>
        <w:pStyle w:val="Normal"/>
        <w:ind w:firstLine="2160" w:end="0"/>
        <w:jc w:val="both"/>
        <w:rPr>
          <w:color w:val="000000"/>
          <w:sz w:val="24"/>
        </w:rPr>
      </w:pPr>
      <w:r>
        <w:rPr>
          <w:color w:val="000000"/>
          <w:sz w:val="24"/>
        </w:rPr>
      </w:r>
    </w:p>
    <w:p>
      <w:pPr>
        <w:pStyle w:val="Normal"/>
        <w:ind w:firstLine="2160" w:end="0"/>
        <w:jc w:val="both"/>
        <w:rPr>
          <w:color w:val="000000"/>
          <w:sz w:val="24"/>
        </w:rPr>
      </w:pPr>
      <w:r>
        <w:rPr>
          <w:color w:val="000000"/>
          <w:sz w:val="24"/>
        </w:rPr>
      </w:r>
    </w:p>
    <w:p>
      <w:pPr>
        <w:pStyle w:val="Normal"/>
        <w:ind w:firstLine="2160" w:end="0"/>
        <w:jc w:val="both"/>
        <w:rPr>
          <w:color w:val="000000"/>
          <w:sz w:val="24"/>
        </w:rPr>
      </w:pPr>
      <w:r>
        <w:rPr>
          <w:color w:val="000000"/>
          <w:sz w:val="24"/>
        </w:rPr>
      </w:r>
    </w:p>
    <w:p>
      <w:pPr>
        <w:pStyle w:val="Normal"/>
        <w:ind w:firstLine="2160" w:end="0"/>
        <w:jc w:val="both"/>
        <w:rPr>
          <w:color w:val="000000"/>
          <w:sz w:val="24"/>
        </w:rPr>
      </w:pPr>
      <w:r>
        <w:rPr>
          <w:color w:val="000000"/>
          <w:sz w:val="24"/>
        </w:rPr>
      </w:r>
    </w:p>
    <w:p>
      <w:pPr>
        <w:pStyle w:val="Normal"/>
        <w:ind w:firstLine="2160" w:end="0"/>
        <w:jc w:val="both"/>
        <w:rPr>
          <w:color w:val="000000"/>
          <w:sz w:val="24"/>
        </w:rPr>
      </w:pPr>
      <w:r>
        <w:rPr>
          <w:color w:val="000000"/>
          <w:sz w:val="24"/>
        </w:rPr>
      </w:r>
    </w:p>
    <w:p>
      <w:pPr>
        <w:pStyle w:val="Normal"/>
        <w:ind w:firstLine="2160" w:end="0"/>
        <w:jc w:val="both"/>
        <w:rPr>
          <w:color w:val="000000"/>
          <w:sz w:val="24"/>
        </w:rPr>
      </w:pPr>
      <w:r>
        <w:rPr>
          <w:color w:val="000000"/>
          <w:sz w:val="24"/>
        </w:rPr>
      </w:r>
    </w:p>
    <w:p>
      <w:pPr>
        <w:pStyle w:val="Normal"/>
        <w:ind w:firstLine="2160" w:end="0"/>
        <w:jc w:val="both"/>
        <w:rPr>
          <w:color w:val="000000"/>
          <w:sz w:val="24"/>
        </w:rPr>
      </w:pPr>
      <w:r>
        <w:rPr>
          <w:color w:val="000000"/>
          <w:sz w:val="24"/>
        </w:rPr>
      </w:r>
    </w:p>
    <w:p>
      <w:pPr>
        <w:pStyle w:val="Normal"/>
        <w:ind w:firstLine="2160" w:end="0"/>
        <w:jc w:val="both"/>
        <w:rPr>
          <w:color w:val="000000"/>
          <w:sz w:val="24"/>
        </w:rPr>
      </w:pPr>
      <w:r>
        <w:rPr>
          <w:color w:val="000000"/>
          <w:sz w:val="24"/>
        </w:rPr>
      </w:r>
    </w:p>
    <w:p>
      <w:pPr>
        <w:pStyle w:val="Normal"/>
        <w:ind w:firstLine="2160" w:end="0"/>
        <w:jc w:val="both"/>
        <w:rPr>
          <w:color w:val="000000"/>
          <w:sz w:val="24"/>
        </w:rPr>
      </w:pPr>
      <w:r>
        <w:rPr>
          <w:color w:val="000000"/>
          <w:sz w:val="24"/>
        </w:rPr>
      </w:r>
    </w:p>
    <w:p>
      <w:pPr>
        <w:pStyle w:val="Normal"/>
        <w:ind w:firstLine="2160" w:end="0"/>
        <w:jc w:val="both"/>
        <w:rPr>
          <w:color w:val="000000"/>
          <w:sz w:val="24"/>
        </w:rPr>
      </w:pPr>
      <w:r>
        <w:rPr>
          <w:color w:val="000000"/>
          <w:sz w:val="24"/>
        </w:rPr>
      </w:r>
    </w:p>
    <w:p>
      <w:pPr>
        <w:pStyle w:val="Normal"/>
        <w:ind w:firstLine="2160" w:end="0"/>
        <w:jc w:val="both"/>
        <w:rPr>
          <w:color w:val="000000"/>
          <w:sz w:val="24"/>
        </w:rPr>
      </w:pPr>
      <w:r>
        <w:rPr>
          <w:color w:val="000000"/>
          <w:sz w:val="24"/>
        </w:rPr>
      </w:r>
    </w:p>
    <w:p>
      <w:pPr>
        <w:pStyle w:val="Normal"/>
        <w:ind w:firstLine="2160" w:end="0"/>
        <w:jc w:val="both"/>
        <w:rPr>
          <w:color w:val="000000"/>
          <w:sz w:val="24"/>
        </w:rPr>
      </w:pPr>
      <w:r>
        <w:rPr>
          <w:color w:val="000000"/>
          <w:sz w:val="24"/>
        </w:rPr>
      </w:r>
    </w:p>
    <w:p>
      <w:pPr>
        <w:pStyle w:val="Normal"/>
        <w:ind w:firstLine="2160" w:end="0"/>
        <w:jc w:val="both"/>
        <w:rPr>
          <w:color w:val="000000"/>
          <w:sz w:val="24"/>
        </w:rPr>
      </w:pPr>
      <w:r>
        <w:rPr>
          <w:color w:val="000000"/>
          <w:sz w:val="24"/>
        </w:rPr>
      </w:r>
    </w:p>
    <w:p>
      <w:pPr>
        <w:pStyle w:val="Normal"/>
        <w:ind w:firstLine="2160" w:end="0"/>
        <w:jc w:val="both"/>
        <w:rPr>
          <w:color w:val="000000"/>
          <w:sz w:val="24"/>
        </w:rPr>
      </w:pPr>
      <w:r>
        <w:rPr>
          <w:color w:val="000000"/>
          <w:sz w:val="24"/>
        </w:rPr>
      </w:r>
    </w:p>
    <w:p>
      <w:pPr>
        <w:pStyle w:val="Normal"/>
        <w:ind w:firstLine="2160" w:end="0"/>
        <w:jc w:val="both"/>
        <w:rPr>
          <w:color w:val="000000"/>
          <w:sz w:val="24"/>
        </w:rPr>
      </w:pPr>
      <w:r>
        <w:rPr>
          <w:color w:val="000000"/>
          <w:sz w:val="24"/>
        </w:rPr>
      </w:r>
    </w:p>
    <w:p>
      <w:pPr>
        <w:pStyle w:val="Normal"/>
        <w:jc w:val="center"/>
        <w:rPr>
          <w:color w:val="000000"/>
          <w:sz w:val="24"/>
        </w:rPr>
      </w:pPr>
      <w:r>
        <w:rPr>
          <w:color w:val="000000"/>
          <w:sz w:val="24"/>
        </w:rPr>
      </w:r>
    </w:p>
    <w:p>
      <w:pPr>
        <w:pStyle w:val="Normal"/>
        <w:jc w:val="center"/>
        <w:rPr>
          <w:sz w:val="24"/>
        </w:rPr>
      </w:pPr>
      <w:r>
        <w:rPr>
          <w:sz w:val="24"/>
        </w:rPr>
        <w:t>Appendix E</w:t>
      </w:r>
    </w:p>
    <w:p>
      <w:pPr>
        <w:pStyle w:val="Normal"/>
        <w:jc w:val="center"/>
        <w:rPr>
          <w:sz w:val="24"/>
        </w:rPr>
      </w:pPr>
      <w:r>
        <w:rPr>
          <w:sz w:val="24"/>
        </w:rPr>
      </w:r>
    </w:p>
    <w:p>
      <w:pPr>
        <w:pStyle w:val="Normal"/>
        <w:jc w:val="center"/>
        <w:rPr>
          <w:color w:val="000000"/>
          <w:sz w:val="24"/>
        </w:rPr>
      </w:pPr>
      <w:r>
        <w:rPr>
          <w:color w:val="000000"/>
          <w:sz w:val="24"/>
        </w:rPr>
        <w:t>AP-42 Data Tables for Turbines and Engines</w:t>
      </w:r>
      <w:r>
        <w:br w:type="page"/>
      </w:r>
    </w:p>
    <w:p>
      <w:pPr>
        <w:pStyle w:val="Normal"/>
        <w:jc w:val="center"/>
        <w:rPr>
          <w:color w:val="000000"/>
          <w:sz w:val="24"/>
        </w:rPr>
      </w:pPr>
      <w:r>
        <w:rPr>
          <w:color w:val="000000"/>
          <w:sz w:val="24"/>
        </w:rPr>
      </w:r>
    </w:p>
    <w:p>
      <w:pPr>
        <w:pStyle w:val="Normal"/>
        <w:jc w:val="center"/>
        <w:rPr>
          <w:color w:val="000000"/>
          <w:sz w:val="24"/>
        </w:rPr>
      </w:pPr>
      <w:r>
        <w:rPr>
          <w:color w:val="000000"/>
          <w:sz w:val="24"/>
        </w:rPr>
      </w:r>
    </w:p>
    <w:p>
      <w:pPr>
        <w:pStyle w:val="Normal"/>
        <w:jc w:val="center"/>
        <w:rPr>
          <w:color w:val="000000"/>
          <w:sz w:val="24"/>
        </w:rPr>
      </w:pPr>
      <w:r>
        <w:rPr>
          <w:color w:val="000000"/>
          <w:sz w:val="24"/>
        </w:rPr>
      </w:r>
    </w:p>
    <w:p>
      <w:pPr>
        <w:pStyle w:val="Normal"/>
        <w:jc w:val="center"/>
        <w:rPr>
          <w:color w:val="000000"/>
          <w:sz w:val="24"/>
        </w:rPr>
      </w:pPr>
      <w:r>
        <w:rPr>
          <w:color w:val="000000"/>
          <w:sz w:val="24"/>
        </w:rPr>
      </w:r>
    </w:p>
    <w:p>
      <w:pPr>
        <w:pStyle w:val="Normal"/>
        <w:jc w:val="center"/>
        <w:rPr>
          <w:color w:val="000000"/>
          <w:sz w:val="24"/>
        </w:rPr>
      </w:pPr>
      <w:r>
        <w:rPr>
          <w:color w:val="000000"/>
          <w:sz w:val="24"/>
        </w:rPr>
      </w:r>
    </w:p>
    <w:p>
      <w:pPr>
        <w:pStyle w:val="Normal"/>
        <w:jc w:val="center"/>
        <w:rPr>
          <w:color w:val="000000"/>
          <w:sz w:val="24"/>
        </w:rPr>
      </w:pPr>
      <w:r>
        <w:rPr>
          <w:color w:val="000000"/>
          <w:sz w:val="24"/>
        </w:rPr>
      </w:r>
    </w:p>
    <w:p>
      <w:pPr>
        <w:pStyle w:val="Normal"/>
        <w:jc w:val="center"/>
        <w:rPr>
          <w:color w:val="000000"/>
          <w:sz w:val="24"/>
        </w:rPr>
      </w:pPr>
      <w:r>
        <w:rPr>
          <w:color w:val="000000"/>
          <w:sz w:val="24"/>
        </w:rPr>
      </w:r>
    </w:p>
    <w:p>
      <w:pPr>
        <w:pStyle w:val="Normal"/>
        <w:jc w:val="center"/>
        <w:rPr>
          <w:color w:val="000000"/>
          <w:sz w:val="24"/>
        </w:rPr>
      </w:pPr>
      <w:r>
        <w:rPr>
          <w:color w:val="000000"/>
          <w:sz w:val="24"/>
        </w:rPr>
      </w:r>
    </w:p>
    <w:p>
      <w:pPr>
        <w:pStyle w:val="Normal"/>
        <w:jc w:val="center"/>
        <w:rPr>
          <w:color w:val="000000"/>
          <w:sz w:val="24"/>
        </w:rPr>
      </w:pPr>
      <w:r>
        <w:rPr>
          <w:color w:val="000000"/>
          <w:sz w:val="24"/>
        </w:rPr>
      </w:r>
    </w:p>
    <w:p>
      <w:pPr>
        <w:pStyle w:val="Normal"/>
        <w:jc w:val="center"/>
        <w:rPr>
          <w:color w:val="000000"/>
          <w:sz w:val="24"/>
        </w:rPr>
      </w:pPr>
      <w:r>
        <w:rPr>
          <w:color w:val="000000"/>
          <w:sz w:val="24"/>
        </w:rPr>
      </w:r>
    </w:p>
    <w:p>
      <w:pPr>
        <w:pStyle w:val="Normal"/>
        <w:jc w:val="center"/>
        <w:rPr>
          <w:color w:val="000000"/>
          <w:sz w:val="24"/>
        </w:rPr>
      </w:pPr>
      <w:r>
        <w:rPr>
          <w:color w:val="000000"/>
          <w:sz w:val="24"/>
        </w:rPr>
      </w:r>
    </w:p>
    <w:p>
      <w:pPr>
        <w:pStyle w:val="Normal"/>
        <w:jc w:val="center"/>
        <w:rPr>
          <w:color w:val="000000"/>
          <w:sz w:val="24"/>
        </w:rPr>
      </w:pPr>
      <w:r>
        <w:rPr>
          <w:color w:val="000000"/>
          <w:sz w:val="24"/>
        </w:rPr>
      </w:r>
    </w:p>
    <w:p>
      <w:pPr>
        <w:pStyle w:val="Normal"/>
        <w:jc w:val="center"/>
        <w:rPr>
          <w:color w:val="000000"/>
          <w:sz w:val="24"/>
        </w:rPr>
      </w:pPr>
      <w:r>
        <w:rPr>
          <w:color w:val="000000"/>
          <w:sz w:val="24"/>
        </w:rPr>
      </w:r>
    </w:p>
    <w:p>
      <w:pPr>
        <w:pStyle w:val="Normal"/>
        <w:jc w:val="center"/>
        <w:rPr>
          <w:color w:val="000000"/>
          <w:sz w:val="24"/>
        </w:rPr>
      </w:pPr>
      <w:r>
        <w:rPr>
          <w:color w:val="000000"/>
          <w:sz w:val="24"/>
        </w:rPr>
      </w:r>
    </w:p>
    <w:p>
      <w:pPr>
        <w:pStyle w:val="Normal"/>
        <w:jc w:val="center"/>
        <w:rPr>
          <w:color w:val="000000"/>
          <w:sz w:val="24"/>
        </w:rPr>
      </w:pPr>
      <w:r>
        <w:rPr>
          <w:color w:val="000000"/>
          <w:sz w:val="24"/>
        </w:rPr>
      </w:r>
    </w:p>
    <w:p>
      <w:pPr>
        <w:pStyle w:val="Normal"/>
        <w:jc w:val="center"/>
        <w:rPr>
          <w:color w:val="000000"/>
          <w:sz w:val="24"/>
        </w:rPr>
      </w:pPr>
      <w:r>
        <w:rPr>
          <w:color w:val="000000"/>
          <w:sz w:val="24"/>
        </w:rPr>
      </w:r>
    </w:p>
    <w:p>
      <w:pPr>
        <w:pStyle w:val="Normal"/>
        <w:jc w:val="center"/>
        <w:rPr>
          <w:color w:val="000000"/>
          <w:sz w:val="24"/>
        </w:rPr>
      </w:pPr>
      <w:r>
        <w:rPr>
          <w:color w:val="000000"/>
          <w:sz w:val="24"/>
        </w:rPr>
      </w:r>
    </w:p>
    <w:p>
      <w:pPr>
        <w:pStyle w:val="Normal"/>
        <w:jc w:val="center"/>
        <w:rPr>
          <w:color w:val="000000"/>
          <w:sz w:val="24"/>
        </w:rPr>
      </w:pPr>
      <w:r>
        <w:rPr>
          <w:color w:val="000000"/>
          <w:sz w:val="24"/>
        </w:rPr>
        <w:t>Appendix F</w:t>
      </w:r>
    </w:p>
    <w:p>
      <w:pPr>
        <w:pStyle w:val="Normal"/>
        <w:jc w:val="center"/>
        <w:rPr>
          <w:color w:val="000000"/>
          <w:sz w:val="24"/>
        </w:rPr>
      </w:pPr>
      <w:r>
        <w:rPr>
          <w:color w:val="000000"/>
          <w:sz w:val="24"/>
        </w:rPr>
      </w:r>
    </w:p>
    <w:p>
      <w:pPr>
        <w:pStyle w:val="Normal"/>
        <w:jc w:val="center"/>
        <w:rPr>
          <w:color w:val="000000"/>
          <w:sz w:val="24"/>
        </w:rPr>
      </w:pPr>
      <w:r>
        <w:rPr>
          <w:color w:val="000000"/>
          <w:sz w:val="24"/>
        </w:rPr>
        <w:t>Generator Engine Data</w:t>
      </w:r>
    </w:p>
    <w:p>
      <w:pPr>
        <w:pStyle w:val="Normal"/>
        <w:jc w:val="center"/>
        <w:rPr>
          <w:color w:val="000000"/>
          <w:sz w:val="24"/>
        </w:rPr>
      </w:pPr>
      <w:r>
        <w:rPr>
          <w:color w:val="000000"/>
          <w:sz w:val="24"/>
        </w:rPr>
      </w:r>
    </w:p>
    <w:p>
      <w:pPr>
        <w:pStyle w:val="Normal"/>
        <w:ind w:firstLine="2160" w:end="0"/>
        <w:jc w:val="both"/>
        <w:rPr>
          <w:color w:val="000000"/>
          <w:sz w:val="24"/>
        </w:rPr>
      </w:pPr>
      <w:r>
        <w:rPr>
          <w:color w:val="000000"/>
          <w:sz w:val="24"/>
        </w:rPr>
      </w:r>
    </w:p>
    <w:p>
      <w:pPr>
        <w:pStyle w:val="Normal"/>
        <w:ind w:firstLine="2160" w:end="0"/>
        <w:jc w:val="both"/>
        <w:rPr>
          <w:color w:val="000000"/>
          <w:sz w:val="24"/>
        </w:rPr>
      </w:pPr>
      <w:r>
        <w:rPr>
          <w:color w:val="000000"/>
          <w:sz w:val="24"/>
        </w:rPr>
      </w:r>
    </w:p>
    <w:sectPr>
      <w:footerReference w:type="default" r:id="rId3"/>
      <w:footerReference w:type="first" r:id="rId4"/>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rPr/>
    </w:pPr>
    <w:r>
      <w:rPr/>
      <w:t>Transwestern Pipeline Company</w:t>
      <w:tab/>
      <w:tab/>
      <w:t>Kingman Compressor Station</w:t>
    </w:r>
  </w:p>
  <w:p>
    <w:pPr>
      <w:pStyle w:val="Footer"/>
      <w:rPr/>
    </w:pPr>
    <w:r>
      <w:rPr/>
      <w:t>Permit Application</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of 20</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rPr/>
    </w:pPr>
    <w:r>
      <w:rPr/>
      <w:t>Transwestern Pipeline Company</w:t>
      <w:tab/>
      <w:tab/>
      <w:t>Kingman Compressor Station</w:t>
    </w:r>
  </w:p>
  <w:p>
    <w:pPr>
      <w:pStyle w:val="Footer"/>
      <w:rPr/>
    </w:pPr>
    <w:r>
      <w:rPr/>
      <w:t>Permit Application</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r>
      <w:rPr>
        <w:rStyle w:val="PageNumber"/>
      </w:rPr>
      <w:t xml:space="preserve"> of 20</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Symbol" w:hAnsi="Symbol" w:cs="Symbol" w:hint="default"/>
        <w:sz w:val="20"/>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WW8NumSt1z0">
    <w:name w:val="WW8NumSt1z0"/>
    <w:qFormat/>
    <w:rPr>
      <w:rFonts w:ascii="Symbol" w:hAnsi="Symbol" w:cs="Symbol"/>
      <w:sz w:val="2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2001-03-21T10:05:00Z</dcterms:created>
  <dc:creator>Jon Fields</dc:creator>
  <dc:description/>
  <dc:language>en-CA</dc:language>
  <cp:lastModifiedBy>Karen Stiefer</cp:lastModifiedBy>
  <cp:lastPrinted>2001-03-23T16:20:00Z</cp:lastPrinted>
  <dcterms:modified xsi:type="dcterms:W3CDTF">2001-03-26T20:09:00Z</dcterms:modified>
  <cp:revision>3</cp:revision>
  <dc:subject/>
  <dc:title>CONTENTS</dc:title>
</cp:coreProperties>
</file>