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January 28, 2002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Kinder Morgan, Inc.</w:t>
      </w:r>
    </w:p>
    <w:p>
      <w:pPr>
        <w:pStyle w:val="Normal"/>
        <w:rPr>
          <w:rFonts w:ascii="Arial" w:hAnsi="Arial" w:cs="Arial"/>
          <w:sz w:val="20"/>
        </w:rPr>
      </w:pPr>
      <w:r>
        <w:rPr>
          <w:rFonts w:cs="Arial" w:ascii="Arial" w:hAnsi="Arial"/>
          <w:sz w:val="20"/>
        </w:rPr>
        <w:t>________________</w:t>
      </w:r>
    </w:p>
    <w:p>
      <w:pPr>
        <w:pStyle w:val="Normal"/>
        <w:rPr>
          <w:rFonts w:ascii="Arial" w:hAnsi="Arial" w:cs="Arial"/>
          <w:sz w:val="20"/>
        </w:rPr>
      </w:pPr>
      <w:r>
        <w:rPr>
          <w:rFonts w:cs="Arial" w:ascii="Arial" w:hAnsi="Arial"/>
          <w:sz w:val="20"/>
        </w:rPr>
        <w:t>Houston, TX 77002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Re: Amendment of Letter of Intent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Ladies and Gentlemen: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Reference is made to the letter of intent dated July 6, 2001 (“LOI”), between Kinder Morgan, Inc. (“KMI”) and Enron Transportation Services Company (“ETS”).  Capitalized terms used, but not defined herein, shall have the meanings assigned to them in the LOI. This letter amends the LOI as follows:</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 xml:space="preserve">Paragraph 3. of the LOI is hereby deleted and the following is substituted in place thereof: </w:t>
      </w:r>
    </w:p>
    <w:p>
      <w:pPr>
        <w:pStyle w:val="Normal"/>
        <w:ind w:start="360" w:end="0"/>
        <w:rPr>
          <w:rFonts w:ascii="Arial" w:hAnsi="Arial" w:cs="Arial"/>
          <w:sz w:val="20"/>
        </w:rPr>
      </w:pPr>
      <w:r>
        <w:rPr>
          <w:rFonts w:cs="Arial" w:ascii="Arial" w:hAnsi="Arial"/>
          <w:sz w:val="20"/>
        </w:rPr>
      </w:r>
    </w:p>
    <w:p>
      <w:pPr>
        <w:pStyle w:val="Normal"/>
        <w:ind w:start="1440" w:end="0"/>
        <w:rPr/>
      </w:pPr>
      <w:r>
        <w:rPr>
          <w:rFonts w:cs="Arial" w:ascii="Arial" w:hAnsi="Arial"/>
          <w:sz w:val="20"/>
        </w:rPr>
        <w:t>“</w:t>
      </w:r>
      <w:r>
        <w:rPr>
          <w:rFonts w:cs="Arial" w:ascii="Arial" w:hAnsi="Arial"/>
          <w:sz w:val="20"/>
        </w:rPr>
        <w:t xml:space="preserve">3.   </w:t>
      </w:r>
      <w:r>
        <w:rPr>
          <w:rFonts w:cs="Arial" w:ascii="Arial" w:hAnsi="Arial"/>
          <w:sz w:val="20"/>
          <w:u w:val="single"/>
        </w:rPr>
        <w:t>Participants’ Letter Agreement with Pemex</w:t>
      </w:r>
      <w:r>
        <w:rPr>
          <w:rFonts w:cs="Arial" w:ascii="Arial" w:hAnsi="Arial"/>
          <w:sz w:val="20"/>
        </w:rPr>
        <w:t>.  On or before February 28, 2002, Enron and KMI shall prepare and submit a letter agreement for execution by Pemex (“Pemex Letter Agreement”). The purpose of the Pemex Letter Agreement will be to set forth the terms and conditions under which the Participants would provide Pemex firm gas transportation services along the TransPecos Facilities and to secure a commitment from Pemex of sufficient quality to proceed with the engineering, development, financing, construction and operation of the TransPecos Project. The Pemex Letter Agreement shall, among other things, be subject to: a) the receipt of certificate authority from the FERC to build, own and operate the TransPecos Project, b) project financing under terms acceptable to both Participants, and c) execution of binding Definitive Project Agreements as described below.”</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The first sentence of Paragraph 4. of the LOI is hereby deleted and the following is substituted in place thereof:</w:t>
      </w:r>
    </w:p>
    <w:p>
      <w:pPr>
        <w:pStyle w:val="Normal"/>
        <w:rPr>
          <w:rFonts w:ascii="Arial" w:hAnsi="Arial" w:cs="Arial"/>
          <w:sz w:val="20"/>
        </w:rPr>
      </w:pPr>
      <w:r>
        <w:rPr>
          <w:rFonts w:cs="Arial" w:ascii="Arial" w:hAnsi="Arial"/>
          <w:sz w:val="20"/>
        </w:rPr>
      </w:r>
    </w:p>
    <w:p>
      <w:pPr>
        <w:pStyle w:val="Normal"/>
        <w:ind w:start="1440" w:end="0"/>
        <w:rPr>
          <w:rFonts w:ascii="Arial" w:hAnsi="Arial" w:cs="Arial"/>
          <w:sz w:val="20"/>
        </w:rPr>
      </w:pPr>
      <w:r>
        <w:rPr>
          <w:rFonts w:cs="Arial" w:ascii="Arial" w:hAnsi="Arial"/>
          <w:sz w:val="20"/>
        </w:rPr>
        <w:t>“</w:t>
      </w:r>
      <w:r>
        <w:rPr>
          <w:rFonts w:cs="Arial" w:ascii="Arial" w:hAnsi="Arial"/>
          <w:sz w:val="20"/>
        </w:rPr>
        <w:t>Within __ days after the execution by the Participants and Pemex of the Pemex Letter Agreement, the Participants shall select the Participant to have the responsibility for final project engineering and construction (“the Construction Participant”).”</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The first sentence of Paragraph 5 of the LOI is hereby deleted and the following is substituted in place thereof:</w:t>
      </w:r>
    </w:p>
    <w:p>
      <w:pPr>
        <w:pStyle w:val="Normal"/>
        <w:rPr>
          <w:rFonts w:ascii="Arial" w:hAnsi="Arial" w:cs="Arial"/>
          <w:sz w:val="20"/>
        </w:rPr>
      </w:pPr>
      <w:r>
        <w:rPr>
          <w:rFonts w:cs="Arial" w:ascii="Arial" w:hAnsi="Arial"/>
          <w:sz w:val="20"/>
        </w:rPr>
      </w:r>
    </w:p>
    <w:p>
      <w:pPr>
        <w:pStyle w:val="Normal"/>
        <w:ind w:start="1440" w:end="0"/>
        <w:rPr>
          <w:rFonts w:ascii="Arial" w:hAnsi="Arial" w:cs="Arial"/>
          <w:sz w:val="20"/>
        </w:rPr>
      </w:pPr>
      <w:r>
        <w:rPr>
          <w:rFonts w:cs="Arial" w:ascii="Arial" w:hAnsi="Arial"/>
          <w:sz w:val="20"/>
        </w:rPr>
        <w:t>“</w:t>
      </w:r>
      <w:r>
        <w:rPr>
          <w:rFonts w:cs="Arial" w:ascii="Arial" w:hAnsi="Arial"/>
          <w:sz w:val="20"/>
        </w:rPr>
        <w:t xml:space="preserve">Following execution by the Participants and Pemex of the Pemex Letter Agreement, the Participants agree to begin negotiation of the Definitive Project Agreements necessary and desirable to incoporate the rights and obligations of the Participants and to complete the engineering, development, financing and construction of the TransPecos Project. The Participants intend to complete the negotiation of, and to execute, the Definitive Project Agreements within __ days of the execution of the Pemex LOI; provided, that neither Participant shall be under any obligation to execute the Definitive Project Agreements unless the terms and conditions of the Definitive Project Agreements are acceptable to such Participant in its sole discretion.” </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Paragraph 14 of the LOI is hereby deleted in its entirety and the following is substituted in place thereof:</w:t>
      </w:r>
    </w:p>
    <w:p>
      <w:pPr>
        <w:pStyle w:val="Normal"/>
        <w:rPr>
          <w:rFonts w:ascii="Arial" w:hAnsi="Arial" w:cs="Arial"/>
          <w:sz w:val="20"/>
        </w:rPr>
      </w:pPr>
      <w:r>
        <w:rPr>
          <w:rFonts w:cs="Arial" w:ascii="Arial" w:hAnsi="Arial"/>
          <w:sz w:val="20"/>
        </w:rPr>
      </w:r>
    </w:p>
    <w:p>
      <w:pPr>
        <w:pStyle w:val="Normal"/>
        <w:ind w:start="1080" w:end="0"/>
        <w:rPr/>
      </w:pPr>
      <w:r>
        <w:rPr>
          <w:rFonts w:eastAsia="Arial" w:cs="Arial" w:ascii="Arial" w:hAnsi="Arial"/>
          <w:sz w:val="20"/>
        </w:rPr>
        <w:t xml:space="preserve">   </w:t>
      </w:r>
      <w:r>
        <w:rPr>
          <w:rFonts w:cs="Arial" w:ascii="Arial" w:hAnsi="Arial"/>
          <w:sz w:val="20"/>
        </w:rPr>
        <w:t>“</w:t>
      </w:r>
      <w:r>
        <w:rPr>
          <w:rFonts w:cs="Arial" w:ascii="Arial" w:hAnsi="Arial"/>
          <w:sz w:val="20"/>
        </w:rPr>
        <w:t xml:space="preserve">14. </w:t>
      </w:r>
      <w:r>
        <w:rPr>
          <w:rFonts w:cs="Arial" w:ascii="Arial" w:hAnsi="Arial"/>
          <w:sz w:val="20"/>
          <w:u w:val="single"/>
        </w:rPr>
        <w:t>Term</w:t>
      </w:r>
      <w:r>
        <w:rPr>
          <w:rFonts w:cs="Arial" w:ascii="Arial" w:hAnsi="Arial"/>
          <w:sz w:val="20"/>
        </w:rPr>
        <w:t>.  This LOI shall terminate upon the occurrence of the execution of the Definitive Project Agreements. In addition, if the Participants have not executed the Definitive Project Agreements on or before June 30, 2002, either Participant shall have the right to terminate this LOI effective as of any time after June 30, 2002 by providing at least 30 days’ prior written notice of such termination to the other Participant.”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Except as expressly amended by this letter, the terms and conditions of the LOI shall continue in full force and effect. If the foregoing accurately sets forth our understanding, please indicate by signing in the space provided below.</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b/>
        <w:tab/>
        <w:tab/>
        <w:tab/>
        <w:t>Enron Transportation Services Company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b/>
        <w:tab/>
        <w:tab/>
        <w:tab/>
        <w:t>By: _________________________</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Accepted by: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Kinder Morgan, Inc.</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By: 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2002-01-28T13:02:00Z</dcterms:created>
  <dc:creator>bill rapp</dc:creator>
  <dc:description/>
  <dc:language>en-CA</dc:language>
  <cp:lastModifiedBy>bill rapp</cp:lastModifiedBy>
  <dcterms:modified xsi:type="dcterms:W3CDTF">2002-01-28T13:37:00Z</dcterms:modified>
  <cp:revision>2</cp:revision>
  <dc:subject/>
  <dc:title/>
</cp:coreProperties>
</file>