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Peter Kinder, President Pro Tem of the Missouri Senate, is sponsoring a bill that would permit Missouri IOUs to spin off their generation assets at historical net book value to genco affiliates.  Each genco would be required to sell power to its affiliated utility for its bundled service customers at FERC-established cost-based rates.  The bill has passed out of the Senate Energy and Environment Committee, and it or a similar substitute bill will be debated on the Senate floor in a few weeks.  Thereafter, the House of Representatives will likely consider the bill.  While Senator Kinder has in the past sponsored pro-competitive legislation, the impetus for this bill is to improve reliability of electricity supply in Missouri.  Ameren has delayed building additional generation to serve its load, has sought 450 MW for this summer’s anticipated demand, and will need another 800 MW for next summer and beyond.  Ameren has built political support for its view that state regulatory risk is impeding economic access to capital markets, and that a genco structure will facilitate additions of necessary incremental generation.</w:t>
      </w:r>
    </w:p>
    <w:p>
      <w:pPr>
        <w:pStyle w:val="Normal"/>
        <w:rPr/>
      </w:pPr>
      <w:r>
        <w:rPr/>
      </w:r>
    </w:p>
    <w:p>
      <w:pPr>
        <w:pStyle w:val="Normal"/>
        <w:rPr/>
      </w:pPr>
      <w:r>
        <w:rPr/>
        <w:t xml:space="preserve">Utilities establishing gencos would be required to offer a “dedicated supply” service for large industrial customers that would permit alternative energy suppliers to arrange for deliveries to eligible customers under a buy-through arrangement.  Pursuant to such arrangement, an alternative supplier would arrange point-to-point transmission service to the border of Ameren’s control area.  Ameren would purchase capacity from the supplier in a wholesale transaction and subsequently transmit the power to the supplier’s customers, who in most respects would be treated as native load customers  -- with the exception that energy balancing charges could be incurred for the net dedicated supply load.  Structuring the arrangement as a limited buy-through preserves the current taxation structure, thereby circumventing the Hancock Amendment as an obstacle to passing electric restructuring legislation in Missouri.  The Hancock Amendment requires that any changes in taxation incidence must be approved by a popular referendum vote.  Comprehensive retail access legislation will no doubt result in changes in the incidence of taxation, as our experience in other states has demonstrated. </w:t>
      </w:r>
    </w:p>
    <w:p>
      <w:pPr>
        <w:pStyle w:val="Normal"/>
        <w:rPr/>
      </w:pPr>
      <w:r>
        <w:rPr/>
      </w:r>
    </w:p>
    <w:p>
      <w:pPr>
        <w:pStyle w:val="Normal"/>
        <w:rPr/>
      </w:pPr>
      <w:r>
        <w:rPr/>
        <w:t>Enron voiced a number of concerns about the bill while it was in the Senate Energy and Environment Committee that focused on the proposal’s potential anti-competitive consequences. A few of these were addressed in the bill that was voted out of committee, but we have been told that additional changes can be expected in a substitute bill that will actually be debated on the Senate floor.  Thus, the improvements that have been made in the bill may be superseded.  Among the major concerns, the bill would:</w:t>
      </w:r>
    </w:p>
    <w:p>
      <w:pPr>
        <w:pStyle w:val="Normal"/>
        <w:rPr/>
      </w:pPr>
      <w:r>
        <w:rPr/>
      </w:r>
    </w:p>
    <w:p>
      <w:pPr>
        <w:pStyle w:val="Normal"/>
        <w:rPr/>
      </w:pPr>
      <w:r>
        <w:rPr/>
      </w:r>
    </w:p>
    <w:p>
      <w:pPr>
        <w:pStyle w:val="Normal"/>
        <w:numPr>
          <w:ilvl w:val="0"/>
          <w:numId w:val="1"/>
        </w:numPr>
        <w:rPr/>
      </w:pPr>
      <w:r>
        <w:rPr/>
        <w:t>Deny interested parties the opportunity to examine, and state regulatory authorities to determine, whether an electric utility’s transfer of production assets to an EWG and power purchase agreement with the utility has any anti-competitive effects (A</w:t>
      </w:r>
      <w:r>
        <w:rPr>
          <w:i/>
          <w:iCs/>
        </w:rPr>
        <w:t>s voted out of committee, this concern is addressed in language requiring the PSC to make that finding if it is to approve the power purchase agreement between the utility and the EWG; but this provision may be absent from the upcoming substitute bill</w:t>
      </w:r>
      <w:r>
        <w:rPr/>
        <w:t>).  Arguably there are potential anti-competitive effects, since the asset transfer at net book value will make competitive entry difficult.</w:t>
      </w:r>
    </w:p>
    <w:p>
      <w:pPr>
        <w:pStyle w:val="Normal"/>
        <w:rPr/>
      </w:pPr>
      <w:r>
        <w:rPr/>
      </w:r>
    </w:p>
    <w:p>
      <w:pPr>
        <w:pStyle w:val="Normal"/>
        <w:rPr/>
      </w:pPr>
      <w:r>
        <w:rPr/>
      </w:r>
    </w:p>
    <w:p>
      <w:pPr>
        <w:pStyle w:val="Normal"/>
        <w:numPr>
          <w:ilvl w:val="0"/>
          <w:numId w:val="1"/>
        </w:numPr>
        <w:rPr/>
      </w:pPr>
      <w:r>
        <w:rPr/>
        <w:t>Not assure that the unbundled supply tariff required to be filed by the electric utility will be subject to a thorough and conclusive regulatory review before it becomes effective, nor assure that its approval is subject to a determination that no anti-competitive consequences result from its implementation.  The unbundled supply tariff will require the unbundling of distribution rates for eligible industrial customers, who will also pay FERC-approved transmission and ancillary service charges and the dedicated supply rate negotiated with the alternative energy suppllier.</w:t>
      </w:r>
    </w:p>
    <w:p>
      <w:pPr>
        <w:pStyle w:val="Normal"/>
        <w:rPr/>
      </w:pPr>
      <w:r>
        <w:rPr/>
      </w:r>
    </w:p>
    <w:p>
      <w:pPr>
        <w:pStyle w:val="Normal"/>
        <w:numPr>
          <w:ilvl w:val="0"/>
          <w:numId w:val="1"/>
        </w:numPr>
        <w:rPr/>
      </w:pPr>
      <w:r>
        <w:rPr/>
        <w:t xml:space="preserve">Impose certain transmission-related costs borne on alternative suppliers that may render dedicated supply service uneconomic, thereby precluding alternative suppliers from offering dedicated service.  Ameren has agreed in a sidebar agreement with Missouri Industrial Energy Consumers (MIEC) that it will propose a retail energy imbalance service agreement that is substantially equivalent to Ameren’s Open Access Transmission Tariff Schedule 4A, adopted for Ameren’s Illinois jurisdiction.  Enron continues to argue, in the Alliance proceeding and elsewhere, that imbalance penalties are unacceptable and that a real-time energy market in conjunction with a hybrid flowgate/LMP congestion management system are necessary components of an infrastructure to support a viable retail access market.    </w:t>
      </w:r>
    </w:p>
    <w:p>
      <w:pPr>
        <w:pStyle w:val="Normal"/>
        <w:rPr/>
      </w:pPr>
      <w:r>
        <w:rPr/>
      </w:r>
    </w:p>
    <w:p>
      <w:pPr>
        <w:pStyle w:val="Normal"/>
        <w:numPr>
          <w:ilvl w:val="0"/>
          <w:numId w:val="1"/>
        </w:numPr>
        <w:rPr/>
      </w:pPr>
      <w:r>
        <w:rPr/>
        <w:t xml:space="preserve">Establish thresholds for buy-through customers eligible for dedicated alternative supplies to minimum 1MW and 2MW site-specific demands, thereby denying benefits to other customers with the sophistication and motivation to arrange for alternative power supplies.   </w:t>
      </w:r>
    </w:p>
    <w:p>
      <w:pPr>
        <w:pStyle w:val="Normal"/>
        <w:rPr/>
      </w:pPr>
      <w:r>
        <w:rPr/>
      </w:r>
    </w:p>
    <w:p>
      <w:pPr>
        <w:pStyle w:val="Normal"/>
        <w:numPr>
          <w:ilvl w:val="0"/>
          <w:numId w:val="1"/>
        </w:numPr>
        <w:rPr/>
      </w:pPr>
      <w:r>
        <w:rPr/>
        <w:t xml:space="preserve">Overbroadly define “regulatory assets”, and provide for no cap on the amount of regulatory assets to be recovered from dedicated supply tariff customers of utilities other than Ameren UE.  Regulatory assets are capped at relatively negligible levels of .06 cents for Ameren UE for ten years, and at .04 cents for the subsequent twenty years – unacceptably long terms regardless of the low levels.   Caps are not specified for the other Missouri utilities, and the bill’s definition of “regulatory assets” includes some categories that are not currently recognized in MPSC-approved rates.  In any event, a thorough and systematic accounting of stranded costs in which regulatory assets are netted against the market value of the utility’s generation assets would very likely result in a determination that no stranded costs exist.  </w:t>
      </w:r>
    </w:p>
    <w:p>
      <w:pPr>
        <w:pStyle w:val="Normal"/>
        <w:rPr/>
      </w:pPr>
      <w:r>
        <w:rPr/>
      </w:r>
    </w:p>
    <w:p>
      <w:pPr>
        <w:pStyle w:val="Normal"/>
        <w:numPr>
          <w:ilvl w:val="0"/>
          <w:numId w:val="1"/>
        </w:numPr>
        <w:rPr/>
      </w:pPr>
      <w:r>
        <w:rPr/>
        <w:t>Permit utilities to engage in unregulated pricing and billing “experiments” that could be anti-competitive (</w:t>
      </w:r>
      <w:r>
        <w:rPr>
          <w:i/>
          <w:iCs/>
        </w:rPr>
        <w:t>The bill voted out of committee included language that would require that such experiments not limit a customer’s choice of supplier under the dedicated supply tariff, nor provide for a discount of rates for transmission, control area, or distribution service.  Whether the coming substitute bill will include these protections is unknown, and we have concerns over whether the execution of the experiments will be subject to Code of Conduct provisions—see below</w:t>
      </w:r>
      <w:r>
        <w:rPr/>
        <w:t xml:space="preserve">).  </w:t>
      </w:r>
    </w:p>
    <w:p>
      <w:pPr>
        <w:pStyle w:val="Normal"/>
        <w:rPr/>
      </w:pPr>
      <w:r>
        <w:rPr/>
      </w:r>
    </w:p>
    <w:p>
      <w:pPr>
        <w:pStyle w:val="Normal"/>
        <w:numPr>
          <w:ilvl w:val="0"/>
          <w:numId w:val="1"/>
        </w:numPr>
        <w:rPr/>
      </w:pPr>
      <w:r>
        <w:rPr/>
        <w:t>Not establish appropriate standards of conduct to assure nondiscrimination in the provision of utility services (W</w:t>
      </w:r>
      <w:r>
        <w:rPr>
          <w:i/>
          <w:iCs/>
        </w:rPr>
        <w:t>e are told that an amendment to the bill establishing standards for a Code of Conduct and an implementation rulemaking is forthcoming</w:t>
      </w:r>
      <w:r>
        <w:rPr/>
        <w:t>).</w:t>
      </w:r>
    </w:p>
    <w:p>
      <w:pPr>
        <w:pStyle w:val="Normal"/>
        <w:rPr/>
      </w:pPr>
      <w:r>
        <w:rPr/>
      </w:r>
    </w:p>
    <w:p>
      <w:pPr>
        <w:pStyle w:val="Normal"/>
        <w:rPr/>
      </w:pPr>
      <w:r>
        <w:rPr/>
      </w:r>
    </w:p>
    <w:p>
      <w:pPr>
        <w:pStyle w:val="Normal"/>
        <w:rPr/>
      </w:pPr>
      <w:r>
        <w:rPr/>
        <w:t xml:space="preserve">We have other objections to details of the bill that are less significant than those identified above.  </w:t>
      </w:r>
      <w:r>
        <w:rPr>
          <w:b/>
          <w:bCs/>
        </w:rPr>
        <w:t>From a practical perspective, however, our objections to the bill can be summed up with the observation that Enron will not be able to compete in the dedicated supply market envisioned by this bill</w:t>
      </w:r>
      <w:r>
        <w:rPr/>
        <w:t xml:space="preserve">.  The bill does not create an environment in which Enron can bundle services with commodity to attract customers and it precludes the offering of billing services.  Historical net book valuation of utility generation plant will assure that bundled utility rates, as well as the genco’s own market rates under the dedicated supply program, will be extremely competitive.  When one considers that Enron’s costs will include point-to-point transmission to Ameren’s borders as well as ancillary service charges, and that Ameren will not agree to provide load following services on our behalf, it becomes apparent that our retail competitive position is weak.  </w:t>
      </w:r>
    </w:p>
    <w:p>
      <w:pPr>
        <w:pStyle w:val="Normal"/>
        <w:rPr/>
      </w:pPr>
      <w:r>
        <w:rPr/>
      </w:r>
    </w:p>
    <w:p>
      <w:pPr>
        <w:pStyle w:val="Normal"/>
        <w:rPr/>
      </w:pPr>
      <w:r>
        <w:rPr/>
        <w:t>Nor does the bill provide Enron with a viable wholesale opportunity.  The genco is not required to solicit competitive bids for generation supply to meet incremental growth in demand of the utility’s bundled customers served via the purchased power arrangement.  Even if it were so required, internal discussions between Government Affairs and ENA employees have established that available transmission capacity into Ameren is constrained.  With no real opportunity presented on the retail or the wholesale sides, the proposed bill leaves much to be desired.</w:t>
      </w:r>
    </w:p>
    <w:p>
      <w:pPr>
        <w:pStyle w:val="Normal"/>
        <w:rPr/>
      </w:pPr>
      <w:r>
        <w:rPr/>
      </w:r>
    </w:p>
    <w:p>
      <w:pPr>
        <w:pStyle w:val="Normal"/>
        <w:rPr/>
      </w:pPr>
      <w:r>
        <w:rPr/>
        <w:t>For these reasons, we recommend that Senator Kinder be persuaded to abandon support for the bill.  Enron would not be alone in taking this position.  We have learned that the Missouri Office of Public Counsel and the rural electric cooperatives are staunchly opposed to the bill, and Ameren at this time has only 13 certain votes in the Senate of 18 required for passage.  Instead, we should support efforts to develop a full-scall retail access bill in the next legislative session.  This position may be difficult for Senator Kinder to accept, since the impetus of the bill before the Missouri legislature is to improve reliability (As noted above, Ameren has argued that it must be permitted to establish a genco in order to improve access to capital markets).  However, nothing is precluding Ameren from building merchant power plants in Missouri at this point, and immediate concerns over reliability will have been addressed when Ameren accepts proposals for an 800 additional MW that it is to seek for next summer and beyond. Improved reliability in the longer term would result from a commitment by Ameren to bolster its transmission system capabilities.</w:t>
      </w:r>
    </w:p>
    <w:p>
      <w:pPr>
        <w:pStyle w:val="Normal"/>
        <w:rPr/>
      </w:pPr>
      <w:r>
        <w:rPr/>
      </w:r>
    </w:p>
    <w:p>
      <w:pPr>
        <w:pStyle w:val="Normal"/>
        <w:rPr/>
      </w:pPr>
      <w:r>
        <w:rPr/>
        <w:t>Swift action next session on a comprehensive retail access bill could address the genco issue.  Unfortunately the Hancock Amendment will remain an impediment to passage.  On the other hand, Ameren may be more willing to negotiate after having lost its battle to push genco legislation through the Missouri Legislature this year.</w:t>
      </w:r>
    </w:p>
    <w:p>
      <w:pPr>
        <w:pStyle w:val="Normal"/>
        <w:rPr/>
      </w:pPr>
      <w:r>
        <w:rPr/>
      </w:r>
    </w:p>
    <w:p>
      <w:pPr>
        <w:pStyle w:val="Normal"/>
        <w:rPr/>
      </w:pPr>
      <w:r>
        <w:rPr>
          <w:color w:val="000000"/>
          <w:szCs w:val="20"/>
        </w:rPr>
        <w:t>Senator Kinder can be reached at his Senate office at 573-751-2455.  On Fridays he works out of his office at the newspaper in Cape Girardeau, 573-335-6611</w:t>
      </w:r>
      <w:r>
        <w:rPr>
          <w:rFonts w:cs="Helv;Arial" w:ascii="Helv;Arial" w:hAnsi="Helv;Arial"/>
          <w:color w:val="000000"/>
          <w:sz w:val="20"/>
          <w:szCs w:val="20"/>
        </w:rPr>
        <w:t xml:space="preserve">.  </w:t>
      </w:r>
      <w:r>
        <w:rPr/>
        <w:t>If you have any questions about the bill and the political environment in Jefferson City, Kerry Stroup and Barbara Hueter in the Dublin, Ohio office are prepared to provide additional information.  Kerry’s number is 614/791-6159, and Barbara’s number is 614/760-7472.</w:t>
      </w:r>
    </w:p>
    <w:p>
      <w:pPr>
        <w:pStyle w:val="Normal"/>
        <w:rPr/>
      </w:pPr>
      <w:r>
        <w:rPr/>
      </w:r>
    </w:p>
    <w:p>
      <w:pPr>
        <w:pStyle w:val="Normal"/>
        <w:rPr/>
      </w:pPr>
      <w:r>
        <w:rPr/>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2001-04-06T16:18:00Z</dcterms:created>
  <dc:creator>kstroup</dc:creator>
  <dc:description/>
  <dc:language>en-CA</dc:language>
  <cp:lastModifiedBy>kstroup</cp:lastModifiedBy>
  <cp:lastPrinted>2001-04-06T15:44:00Z</cp:lastPrinted>
  <dcterms:modified xsi:type="dcterms:W3CDTF">2001-04-09T14:42:00Z</dcterms:modified>
  <cp:revision>5</cp:revision>
  <dc:subject/>
  <dc:title>Peter Kinder, President Pro Tem of the Missouri Senate, is sponsoring a bill that would permit Missouri IOUs to spin off their</dc:title>
</cp:coreProperties>
</file>