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April 1, 1999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VIA TELEFACSIMILE</w:t>
      </w:r>
    </w:p>
    <w:p>
      <w:pPr>
        <w:pStyle w:val="Normal"/>
        <w:rPr>
          <w:sz w:val="24"/>
        </w:rPr>
      </w:pPr>
      <w:r>
        <w:rPr>
          <w:sz w:val="24"/>
        </w:rPr>
        <w:t>(713-783-9672)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Kimball Trading Company, L.L.C.</w:t>
      </w:r>
    </w:p>
    <w:p>
      <w:pPr>
        <w:pStyle w:val="Normal"/>
        <w:rPr>
          <w:sz w:val="24"/>
        </w:rPr>
      </w:pPr>
      <w:r>
        <w:rPr>
          <w:sz w:val="24"/>
        </w:rPr>
        <w:t>10370 Richmond Avenue, Suite 500</w:t>
      </w:r>
    </w:p>
    <w:p>
      <w:pPr>
        <w:pStyle w:val="Normal"/>
        <w:rPr>
          <w:sz w:val="24"/>
        </w:rPr>
      </w:pPr>
      <w:r>
        <w:rPr>
          <w:sz w:val="24"/>
        </w:rPr>
        <w:t>Houston, Texas 77042</w:t>
      </w:r>
    </w:p>
    <w:p>
      <w:pPr>
        <w:pStyle w:val="Normal"/>
        <w:rPr>
          <w:sz w:val="24"/>
        </w:rPr>
      </w:pPr>
      <w:r>
        <w:rPr>
          <w:sz w:val="24"/>
        </w:rPr>
        <w:t>Attn.:  Dave Fisher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  <w:t>Re:  General Terms and Conditions of Confirmation and Derivative Transactions (collectively, the “Agreement”) between Kimball Trading Company, L.L.C. (“Kimball”) and Enron Capital &amp; Trade Resources Corp. (“ECT”)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Sirs: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We are aware that Kimball has filed a voluntary Chapter 11 petition on or about March 10, 1999 (No. 99-32383-H2-11, U.S.D.C., S.D. TX).  This letter constitutes notice to you of the following: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the hereinabove referenced proceedings constitute an Event of Default pursuant to Section 3(d) of the Agreement; and</w:t>
      </w:r>
    </w:p>
    <w:p>
      <w:pPr>
        <w:pStyle w:val="Normal"/>
        <w:ind w:hanging="360" w:start="108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ECT designates April 1, 1999 as an Early Termination Date pursuant to Section 4 of the Agreement as to all Derivative Transactions under the Agreement.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ECT preserves all rights of setoff pursuant to Section 5 of the Agreement and otherwise existing.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An accounting of early termination amounts owed to or owing by Kimball and any setoff exercised by ECT will be provided to you in due course.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BodyText"/>
        <w:rPr/>
      </w:pPr>
      <w:r>
        <w:rPr/>
        <w:t>We note from the record that Edward L. Rothberg of Weycer, Kaplan, Pulaski &amp; Zuber, P.C. represents you with respect to the proceedings.  We are therefore providing Edward Rothberg with a copy of this letter.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>Very truly yours,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Carol L. St. Clair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</w:t>
        <w:tab/>
        <w:t>Edward Rothberg (by telecopy – 961-5341)</w:t>
      </w:r>
    </w:p>
    <w:p>
      <w:pPr>
        <w:pStyle w:val="Normal"/>
        <w:rPr>
          <w:sz w:val="24"/>
        </w:rPr>
      </w:pPr>
      <w:r>
        <w:rPr>
          <w:sz w:val="24"/>
        </w:rPr>
        <w:tab/>
        <w:t>Lisa Mellencamp</w:t>
      </w:r>
    </w:p>
    <w:p>
      <w:pPr>
        <w:pStyle w:val="Normal"/>
        <w:rPr>
          <w:sz w:val="24"/>
        </w:rPr>
      </w:pPr>
      <w:r>
        <w:rPr>
          <w:sz w:val="24"/>
        </w:rPr>
        <w:tab/>
        <w:t>Mark Taylor</w:t>
      </w:r>
    </w:p>
    <w:p>
      <w:pPr>
        <w:pStyle w:val="Normal"/>
        <w:rPr>
          <w:sz w:val="24"/>
        </w:rPr>
      </w:pPr>
      <w:r>
        <w:rPr>
          <w:sz w:val="24"/>
        </w:rPr>
        <w:tab/>
        <w:t>Bill Bradford</w:t>
      </w:r>
    </w:p>
    <w:p>
      <w:pPr>
        <w:pStyle w:val="Normal"/>
        <w:rPr>
          <w:sz w:val="24"/>
        </w:rPr>
      </w:pPr>
      <w:r>
        <w:rPr>
          <w:sz w:val="24"/>
        </w:rPr>
        <w:tab/>
        <w:t>John Hopley</w:t>
        <w:tab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80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cstclair/letters/kimballtrading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</w:rPr>
    </w:pPr>
    <w:r>
      <w:rPr>
        <w:sz w:val="24"/>
      </w:rPr>
      <w:t>April 1, 1999</w:t>
    </w:r>
  </w:p>
  <w:p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>
    <w:pPr>
      <w:pStyle w:val="Header"/>
      <w:rPr>
        <w:rStyle w:val="PageNumber"/>
        <w:sz w:val="24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1080" w:end="0"/>
    </w:pPr>
    <w:rPr/>
  </w:style>
  <w:style w:type="paragraph" w:styleId="BodyTextIndent2">
    <w:name w:val="Body Text Indent 2"/>
    <w:basedOn w:val="Normal"/>
    <w:qFormat/>
    <w:pPr>
      <w:ind w:hanging="450" w:start="1170" w:end="0"/>
      <w:jc w:val="both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1999-04-01T15:31:00Z</dcterms:created>
  <dc:creator>kaye ellis</dc:creator>
  <dc:description/>
  <dc:language>en-CA</dc:language>
  <cp:lastModifiedBy>sadams</cp:lastModifiedBy>
  <cp:lastPrinted>1999-04-01T15:10:00Z</cp:lastPrinted>
  <dcterms:modified xsi:type="dcterms:W3CDTF">1999-04-01T18:59:00Z</dcterms:modified>
  <cp:revision>5</cp:revision>
  <dc:subject/>
  <dc:title>March 29, 1999</dc:title>
</cp:coreProperties>
</file>