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eastAsia="MS Gothic;ＭＳ ゴシック"/>
          <w:sz w:val="24"/>
        </w:rPr>
      </w:pPr>
      <w:r>
        <w:rPr>
          <w:rFonts w:eastAsia="MS Gothic;ＭＳ ゴシック"/>
          <w:sz w:val="24"/>
        </w:rPr>
        <w:t>K</w:t>
      </w:r>
      <w:r>
        <w:rPr>
          <w:rFonts w:eastAsia="MS Gothic;ＭＳ ゴシック"/>
          <w:smallCaps/>
          <w:sz w:val="24"/>
        </w:rPr>
        <w:t xml:space="preserve">imberly </w:t>
      </w:r>
      <w:r>
        <w:rPr>
          <w:rFonts w:eastAsia="MS Gothic;ＭＳ ゴシック"/>
          <w:sz w:val="24"/>
        </w:rPr>
        <w:t>D. W</w:t>
      </w:r>
      <w:r>
        <w:rPr>
          <w:rFonts w:eastAsia="MS Gothic;ＭＳ ゴシック"/>
          <w:smallCaps/>
          <w:sz w:val="24"/>
        </w:rPr>
        <w:t>hitsel</w:t>
      </w:r>
    </w:p>
    <w:p>
      <w:pPr>
        <w:pStyle w:val="Normal"/>
        <w:jc w:val="center"/>
        <w:rPr>
          <w:rFonts w:eastAsia="MS Gothic;ＭＳ ゴシック"/>
        </w:rPr>
      </w:pPr>
      <w:r>
        <w:rPr>
          <w:rFonts w:eastAsia="MS Gothic;ＭＳ ゴシック"/>
        </w:rPr>
        <w:t>214 New Street Apt. 1-N</w:t>
      </w:r>
    </w:p>
    <w:p>
      <w:pPr>
        <w:pStyle w:val="Normal"/>
        <w:jc w:val="center"/>
        <w:rPr>
          <w:rFonts w:eastAsia="MS Gothic;ＭＳ ゴシック"/>
        </w:rPr>
      </w:pPr>
      <w:r>
        <w:rPr>
          <w:rFonts w:eastAsia="MS Gothic;ＭＳ ゴシック"/>
        </w:rPr>
        <w:t>Philadelphia, PA 19106</w:t>
      </w:r>
    </w:p>
    <w:p>
      <w:pPr>
        <w:pStyle w:val="Normal"/>
        <w:jc w:val="center"/>
        <w:rPr>
          <w:rFonts w:eastAsia="MS Gothic;ＭＳ ゴシック"/>
        </w:rPr>
      </w:pPr>
      <w:r>
        <w:rPr>
          <w:rFonts w:eastAsia="MS Gothic;ＭＳ ゴシック"/>
        </w:rPr>
        <w:t>215-873-0303</w:t>
      </w:r>
    </w:p>
    <w:p>
      <w:pPr>
        <w:pStyle w:val="Normal"/>
        <w:jc w:val="center"/>
        <w:rPr>
          <w:rFonts w:eastAsia="MS Gothic;ＭＳ ゴシック"/>
          <w:sz w:val="20"/>
          <w:lang w:val="en-CA" w:eastAsia="en-CA"/>
        </w:rPr>
      </w:pPr>
      <w:r>
        <w:rPr>
          <w:rFonts w:eastAsia="MS Gothic;ＭＳ ゴシック"/>
          <w:sz w:val="20"/>
          <w:lang w:val="en-CA" w:eastAsia="en-CA"/>
        </w:rPr>
        <mc:AlternateContent>
          <mc:Choice Requires="wps">
            <w:drawing>
              <wp:anchor behindDoc="0" distT="0" distB="0" distL="114935" distR="114935" simplePos="0" locked="0" layoutInCell="1" allowOverlap="1" relativeHeight="3">
                <wp:simplePos x="0" y="0"/>
                <wp:positionH relativeFrom="column">
                  <wp:posOffset>-114300</wp:posOffset>
                </wp:positionH>
                <wp:positionV relativeFrom="paragraph">
                  <wp:posOffset>160020</wp:posOffset>
                </wp:positionV>
                <wp:extent cx="5829300" cy="0"/>
                <wp:effectExtent l="0" t="8255" r="0" b="8255"/>
                <wp:wrapNone/>
                <wp:docPr id="1" name=""/>
                <a:graphic xmlns:a="http://schemas.openxmlformats.org/drawingml/2006/main">
                  <a:graphicData uri="http://schemas.microsoft.com/office/word/2010/wordprocessingShape">
                    <wps:wsp>
                      <wps:cNvSpPr/>
                      <wps:spPr>
                        <a:xfrm>
                          <a:off x="0" y="0"/>
                          <a:ext cx="5829480" cy="0"/>
                        </a:xfrm>
                        <a:prstGeom prst="line">
                          <a:avLst/>
                        </a:prstGeom>
                        <a:ln w="15840">
                          <a:solidFill>
                            <a:srgbClr val="000000"/>
                          </a:solidFill>
                          <a:miter/>
                        </a:ln>
                      </wps:spPr>
                      <wps:style>
                        <a:lnRef idx="0"/>
                        <a:fillRef idx="0"/>
                        <a:effectRef idx="0"/>
                        <a:fontRef idx="minor"/>
                      </wps:style>
                      <wps:bodyPr/>
                    </wps:wsp>
                  </a:graphicData>
                </a:graphic>
              </wp:anchor>
            </w:drawing>
          </mc:Choice>
          <mc:Fallback>
            <w:pict>
              <v:line id="shape_0" from="-9pt,12.6pt" to="449.95pt,12.6pt" stroked="t" o:allowincell="f" style="position:absolute">
                <v:stroke color="black" weight="15840" joinstyle="miter" endcap="flat"/>
                <v:fill o:detectmouseclick="t" on="false"/>
                <w10:wrap type="none"/>
              </v:line>
            </w:pict>
          </mc:Fallback>
        </mc:AlternateContent>
      </w:r>
    </w:p>
    <w:p>
      <w:pPr>
        <w:pStyle w:val="Normal"/>
        <w:jc w:val="center"/>
        <w:rPr>
          <w:rFonts w:eastAsia="MS Gothic;ＭＳ ゴシック"/>
        </w:rPr>
      </w:pPr>
      <w:r>
        <w:rPr>
          <w:rFonts w:eastAsia="MS Gothic;ＭＳ ゴシック"/>
        </w:rPr>
      </w:r>
    </w:p>
    <w:p>
      <w:pPr>
        <w:pStyle w:val="Normal"/>
        <w:rPr>
          <w:rFonts w:eastAsia="MS Gothic;ＭＳ ゴシック"/>
        </w:rPr>
      </w:pPr>
      <w:r>
        <w:rPr>
          <w:rFonts w:eastAsia="MS Gothic;ＭＳ ゴシック"/>
        </w:rPr>
        <w:t>December 18, 2000</w:t>
      </w:r>
    </w:p>
    <w:p>
      <w:pPr>
        <w:pStyle w:val="Normal"/>
        <w:rPr>
          <w:rFonts w:eastAsia="MS Gothic;ＭＳ ゴシック"/>
        </w:rPr>
      </w:pPr>
      <w:r>
        <w:rPr>
          <w:rFonts w:eastAsia="MS Gothic;ＭＳ ゴシック"/>
        </w:rPr>
      </w:r>
    </w:p>
    <w:p>
      <w:pPr>
        <w:pStyle w:val="InsideAddressName"/>
        <w:rPr>
          <w:rFonts w:ascii="Times New Roman" w:hAnsi="Times New Roman" w:cs="Times New Roman"/>
          <w:sz w:val="24"/>
        </w:rPr>
      </w:pPr>
      <w:r>
        <w:rPr>
          <w:rFonts w:cs="Times New Roman" w:ascii="Times New Roman" w:hAnsi="Times New Roman"/>
          <w:sz w:val="24"/>
        </w:rPr>
        <w:t>Ms. Kristin Gandy</w:t>
      </w:r>
    </w:p>
    <w:p>
      <w:pPr>
        <w:pStyle w:val="InsideAddress"/>
        <w:rPr>
          <w:rFonts w:ascii="Times New Roman" w:hAnsi="Times New Roman" w:cs="Times New Roman"/>
          <w:sz w:val="24"/>
        </w:rPr>
      </w:pPr>
      <w:r>
        <w:rPr>
          <w:rFonts w:cs="Times New Roman" w:ascii="Times New Roman" w:hAnsi="Times New Roman"/>
          <w:sz w:val="24"/>
        </w:rPr>
        <w:t>Associate Recruiter</w:t>
      </w:r>
    </w:p>
    <w:p>
      <w:pPr>
        <w:pStyle w:val="InsideAddress"/>
        <w:rPr>
          <w:rFonts w:ascii="Times New Roman" w:hAnsi="Times New Roman" w:cs="Times New Roman"/>
          <w:sz w:val="24"/>
        </w:rPr>
      </w:pPr>
      <w:r>
        <w:rPr>
          <w:rFonts w:cs="Times New Roman" w:ascii="Times New Roman" w:hAnsi="Times New Roman"/>
          <w:sz w:val="24"/>
        </w:rPr>
        <w:t>Associate Analyst Program</w:t>
      </w:r>
    </w:p>
    <w:p>
      <w:pPr>
        <w:pStyle w:val="InsideAddress"/>
        <w:rPr>
          <w:rFonts w:ascii="Times New Roman" w:hAnsi="Times New Roman" w:cs="Times New Roman"/>
          <w:sz w:val="24"/>
        </w:rPr>
      </w:pPr>
      <w:r>
        <w:rPr>
          <w:rFonts w:cs="Times New Roman" w:ascii="Times New Roman" w:hAnsi="Times New Roman"/>
          <w:sz w:val="24"/>
        </w:rPr>
        <w:t>1400 Smith Street EB1180</w:t>
      </w:r>
    </w:p>
    <w:p>
      <w:pPr>
        <w:pStyle w:val="InsideAddress"/>
        <w:rPr>
          <w:rFonts w:ascii="Times New Roman" w:hAnsi="Times New Roman" w:cs="Times New Roman"/>
          <w:sz w:val="24"/>
        </w:rPr>
      </w:pPr>
      <w:r>
        <w:rPr>
          <w:rFonts w:cs="Times New Roman" w:ascii="Times New Roman" w:hAnsi="Times New Roman"/>
          <w:sz w:val="24"/>
        </w:rPr>
        <w:t>Houston, TX 77002</w:t>
      </w:r>
    </w:p>
    <w:p>
      <w:pPr>
        <w:pStyle w:val="Normal"/>
        <w:rPr>
          <w:rFonts w:ascii="Times New Roman" w:hAnsi="Times New Roman" w:eastAsia="MS Gothic;ＭＳ ゴシック" w:cs="Times New Roman"/>
          <w:sz w:val="24"/>
        </w:rPr>
      </w:pPr>
      <w:r>
        <w:rPr>
          <w:rFonts w:eastAsia="MS Gothic;ＭＳ ゴシック" w:cs="Times New Roman"/>
          <w:sz w:val="24"/>
        </w:rPr>
      </w:r>
    </w:p>
    <w:p>
      <w:pPr>
        <w:pStyle w:val="Normal"/>
        <w:rPr>
          <w:rFonts w:eastAsia="MS Gothic;ＭＳ ゴシック"/>
        </w:rPr>
      </w:pPr>
      <w:r>
        <w:rPr>
          <w:rFonts w:eastAsia="MS Gothic;ＭＳ ゴシック"/>
        </w:rPr>
        <w:t>RE:  Wharton Schedule #1823</w:t>
      </w:r>
    </w:p>
    <w:p>
      <w:pPr>
        <w:pStyle w:val="Normal"/>
        <w:rPr>
          <w:rFonts w:eastAsia="MS Gothic;ＭＳ ゴシック"/>
        </w:rPr>
      </w:pPr>
      <w:r>
        <w:rPr>
          <w:rFonts w:eastAsia="MS Gothic;ＭＳ ゴシック"/>
        </w:rPr>
      </w:r>
    </w:p>
    <w:p>
      <w:pPr>
        <w:pStyle w:val="Normal"/>
        <w:rPr/>
      </w:pPr>
      <w:r>
        <w:rPr>
          <w:rFonts w:eastAsia="MS Gothic;ＭＳ ゴシック"/>
        </w:rPr>
        <w:t xml:space="preserve">Dear Ms. </w:t>
      </w:r>
      <w:r>
        <w:rPr/>
        <w:t>Gandy</w:t>
      </w:r>
      <w:r>
        <w:rPr>
          <w:rFonts w:eastAsia="MS Gothic;ＭＳ ゴシック"/>
        </w:rPr>
        <w:t>:</w:t>
      </w:r>
    </w:p>
    <w:p>
      <w:pPr>
        <w:pStyle w:val="Normal"/>
        <w:rPr>
          <w:rFonts w:eastAsia="MS Gothic;ＭＳ ゴシック"/>
        </w:rPr>
      </w:pPr>
      <w:r>
        <w:rPr>
          <w:rFonts w:eastAsia="MS Gothic;ＭＳ ゴシック"/>
        </w:rPr>
      </w:r>
    </w:p>
    <w:p>
      <w:pPr>
        <w:pStyle w:val="Normal"/>
        <w:rPr>
          <w:rFonts w:eastAsia="MS Gothic;ＭＳ ゴシック"/>
        </w:rPr>
      </w:pPr>
      <w:r>
        <w:rPr>
          <w:rFonts w:eastAsia="MS Gothic;ＭＳ ゴシック"/>
        </w:rPr>
        <w:t>I am a first year MBA student at the Wharton School who is interested in a Summer Associate position in Corporate Finance.  I am currently working with Vince Kaminski on the Enron Field Application Project (FAP) at Wharton.  Through information sessions and by virtue of living in Houston, I have become very interested in the Enron Associates Program.  My background in the oil and gas industry along with the skills that I have developed at Wharton should serve me well in the Associates Program.</w:t>
      </w:r>
    </w:p>
    <w:p>
      <w:pPr>
        <w:pStyle w:val="Normal"/>
        <w:rPr>
          <w:rFonts w:eastAsia="MS Gothic;ＭＳ ゴシック"/>
        </w:rPr>
      </w:pPr>
      <w:r>
        <w:rPr>
          <w:rFonts w:eastAsia="MS Gothic;ＭＳ ゴシック"/>
        </w:rPr>
      </w:r>
    </w:p>
    <w:p>
      <w:pPr>
        <w:pStyle w:val="Normal"/>
        <w:rPr>
          <w:rFonts w:eastAsia="MS Gothic;ＭＳ ゴシック"/>
        </w:rPr>
      </w:pPr>
      <w:r>
        <w:rPr>
          <w:rFonts w:eastAsia="MS Gothic;ＭＳ ゴシック"/>
        </w:rPr>
        <w:t xml:space="preserve">My experience in project management strengthened both my communication skills as well as my teamwork skills while my experience as an engineer honed my quantitative skills as well as my attention to detail.  As a project manager, I had the opportunity to work with people from all different types of backgrounds and education levels and I was able to effectively motivate and communicate with those who worked on my project team. I also applied these skills to my client interactions and presentations.  During my time at FMC, I was selected to help in the re-design of the work process and the implementation of these new process improvements.  </w:t>
      </w:r>
    </w:p>
    <w:p>
      <w:pPr>
        <w:pStyle w:val="Normal"/>
        <w:rPr>
          <w:rFonts w:eastAsia="MS Gothic;ＭＳ ゴシック"/>
        </w:rPr>
      </w:pPr>
      <w:r>
        <w:rPr>
          <w:rFonts w:eastAsia="MS Gothic;ＭＳ ゴシック"/>
        </w:rPr>
      </w:r>
    </w:p>
    <w:p>
      <w:pPr>
        <w:pStyle w:val="Normal"/>
        <w:rPr>
          <w:rFonts w:eastAsia="MS Gothic;ＭＳ ゴシック"/>
        </w:rPr>
      </w:pPr>
      <w:r>
        <w:rPr>
          <w:rFonts w:eastAsia="MS Gothic;ＭＳ ゴシック"/>
        </w:rPr>
        <w:t>I look forward to a long career in a dynamic company such as Enron.  I am confident that I could make a significant contribution to Enron in both the Summer Associate position and the Associates Program and I would appreciate the opportunity to interview for this position under schedule # 1823.</w:t>
      </w:r>
    </w:p>
    <w:p>
      <w:pPr>
        <w:pStyle w:val="Normal"/>
        <w:rPr>
          <w:rFonts w:eastAsia="MS Gothic;ＭＳ ゴシック"/>
        </w:rPr>
      </w:pPr>
      <w:r>
        <w:rPr>
          <w:rFonts w:eastAsia="MS Gothic;ＭＳ ゴシック"/>
        </w:rPr>
      </w:r>
    </w:p>
    <w:p>
      <w:pPr>
        <w:pStyle w:val="Normal"/>
        <w:rPr>
          <w:rFonts w:eastAsia="MS Gothic;ＭＳ ゴシック"/>
        </w:rPr>
      </w:pPr>
      <w:r>
        <w:rPr>
          <w:rFonts w:eastAsia="MS Gothic;ＭＳ ゴシック"/>
        </w:rPr>
        <w:t>With Warm Regards,</w:t>
      </w:r>
    </w:p>
    <w:p>
      <w:pPr>
        <w:pStyle w:val="Normal"/>
        <w:rPr>
          <w:rFonts w:eastAsia="MS Gothic;ＭＳ ゴシック"/>
        </w:rPr>
      </w:pPr>
      <w:r>
        <w:rPr/>
        <w:drawing>
          <wp:inline distT="0" distB="0" distL="0" distR="0">
            <wp:extent cx="1555115" cy="699770"/>
            <wp:effectExtent l="0" t="0" r="0" b="0"/>
            <wp:docPr id="2" name="si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 descr="" title=""/>
                    <pic:cNvPicPr>
                      <a:picLocks noChangeAspect="1" noChangeArrowheads="1"/>
                    </pic:cNvPicPr>
                  </pic:nvPicPr>
                  <pic:blipFill>
                    <a:blip r:embed="rId2"/>
                    <a:srcRect l="-4" t="-3" r="15505" b="76151"/>
                    <a:stretch>
                      <a:fillRect/>
                    </a:stretch>
                  </pic:blipFill>
                  <pic:spPr bwMode="auto">
                    <a:xfrm>
                      <a:off x="0" y="0"/>
                      <a:ext cx="1555115" cy="699770"/>
                    </a:xfrm>
                    <a:prstGeom prst="rect">
                      <a:avLst/>
                    </a:prstGeom>
                    <a:noFill/>
                  </pic:spPr>
                </pic:pic>
              </a:graphicData>
            </a:graphic>
          </wp:inline>
        </w:drawing>
      </w:r>
    </w:p>
    <w:p>
      <w:pPr>
        <w:pStyle w:val="Normal"/>
        <w:rPr>
          <w:rFonts w:eastAsia="MS Gothic;ＭＳ ゴシック"/>
        </w:rPr>
      </w:pPr>
      <w:r>
        <w:rPr>
          <w:rFonts w:eastAsia="MS Gothic;ＭＳ ゴシック"/>
        </w:rPr>
        <w:t>Kimberly D. Whitsel</w:t>
      </w:r>
    </w:p>
    <w:p>
      <w:pPr>
        <w:pStyle w:val="Normal"/>
        <w:rPr>
          <w:rFonts w:eastAsia="MS Gothic;ＭＳ ゴシック"/>
        </w:rPr>
      </w:pPr>
      <w:r>
        <w:rPr>
          <w:rFonts w:eastAsia="MS Gothic;ＭＳ ゴシック"/>
        </w:rPr>
      </w:r>
    </w:p>
    <w:p>
      <w:pPr>
        <w:pStyle w:val="Normal"/>
        <w:rPr>
          <w:rFonts w:eastAsia="MS Gothic;ＭＳ ゴシック"/>
        </w:rPr>
      </w:pPr>
      <w:r>
        <w:rPr>
          <w:rFonts w:eastAsia="MS Gothic;ＭＳ ゴシック"/>
        </w:rPr>
        <w:t>Enclosure</w:t>
      </w:r>
    </w:p>
    <w:sectPr>
      <w:type w:val="nextPage"/>
      <w:pgSz w:w="12240" w:h="15840"/>
      <w:pgMar w:left="1800" w:right="1800" w:gutter="0" w:header="0" w:top="720"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20"/>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sideAddress">
    <w:name w:val="Inside Address"/>
    <w:basedOn w:val="Normal"/>
    <w:qFormat/>
    <w:pPr>
      <w:spacing w:lineRule="atLeast" w:line="220"/>
      <w:jc w:val="both"/>
    </w:pPr>
    <w:rPr>
      <w:rFonts w:ascii="Arial" w:hAnsi="Arial" w:cs="Arial"/>
      <w:spacing w:val="-5"/>
      <w:sz w:val="20"/>
      <w:szCs w:val="20"/>
    </w:rPr>
  </w:style>
  <w:style w:type="paragraph" w:styleId="InsideAddressName">
    <w:name w:val="Inside Address Name"/>
    <w:basedOn w:val="InsideAddress"/>
    <w:next w:val="InsideAddress"/>
    <w:qFormat/>
    <w:pPr>
      <w:spacing w:before="220" w:after="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2000-12-18T12:43:00Z</dcterms:created>
  <dc:creator>Kimberly Whitsel</dc:creator>
  <dc:description/>
  <dc:language>en-CA</dc:language>
  <cp:lastModifiedBy>Kimberly Whitsel</cp:lastModifiedBy>
  <cp:lastPrinted>2000-12-18T10:02:00Z</cp:lastPrinted>
  <dcterms:modified xsi:type="dcterms:W3CDTF">2000-12-22T21:15:00Z</dcterms:modified>
  <cp:revision>5</cp:revision>
  <dc:subject/>
  <dc:title>KIMBERLY D</dc:title>
</cp:coreProperties>
</file>